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Szegedi Tudományegyetem Informatika Doktori </w:t>
      </w:r>
      <w:r w:rsidDel="00000000" w:rsidR="00000000" w:rsidRPr="00000000">
        <w:rPr>
          <w:b w:val="1"/>
          <w:sz w:val="28"/>
          <w:szCs w:val="28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skolájának</w:t>
        <w:br w:type="textWrapping"/>
      </w:r>
      <w:r w:rsidDel="00000000" w:rsidR="00000000" w:rsidRPr="00000000">
        <w:rPr>
          <w:b w:val="1"/>
          <w:sz w:val="28"/>
          <w:szCs w:val="28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űködési </w:t>
      </w:r>
      <w:r w:rsidDel="00000000" w:rsidR="00000000" w:rsidRPr="00000000">
        <w:rPr>
          <w:b w:val="1"/>
          <w:sz w:val="28"/>
          <w:szCs w:val="28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zabályzata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Jelen szabályzat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a doktori iskolákról, a doktori eljárások rendjéről és a habilitációról szóló 387/2012. (XII. 19.) Kormányrendelet, valamint 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Szegedi Tudományegyetem Doktori Képzés és Doktori Fokozatszerzés Szabályzatának (továbbiakban: SZTED</w:t>
      </w:r>
      <w:r w:rsidDel="00000000" w:rsidR="00000000" w:rsidRPr="00000000">
        <w:rPr>
          <w:sz w:val="24"/>
          <w:szCs w:val="24"/>
          <w:rtl w:val="0"/>
        </w:rPr>
        <w:t xml:space="preserve">SZ)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rendelkezéseit egészíti ki és alkalmazza. Érvényes azokra a doktorandusz hallgatókra, akik tanulmányaikat a 2016/2017 tanév első félévben vagy utána kezdik meg.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357" w:right="0" w:hanging="357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Az Informatika Doktori Iskola címe és adatai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Működési hely: </w:t>
        <w:tab/>
        <w:t xml:space="preserve">Szegedi Tudományegyetem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</w:t>
        <w:tab/>
        <w:t xml:space="preserve">TTIK, Informatikai Intézet 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</w:t>
        <w:tab/>
        <w:t xml:space="preserve">6720 Szeged, Árpád tér 2.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Postacím:         </w:t>
        <w:tab/>
        <w:t xml:space="preserve">Szegedi Tudományegyetem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</w:t>
        <w:tab/>
        <w:t xml:space="preserve">Informatika Doktori Iskola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</w:t>
        <w:tab/>
        <w:t xml:space="preserve">6701 Szeged, Postafiók 652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Telefon:          </w:t>
        <w:tab/>
        <w:t xml:space="preserve">+36 62 546 </w:t>
      </w:r>
      <w:r w:rsidDel="00000000" w:rsidR="00000000" w:rsidRPr="00000000">
        <w:rPr>
          <w:sz w:val="24"/>
          <w:szCs w:val="24"/>
          <w:rtl w:val="0"/>
        </w:rPr>
        <w:t xml:space="preserve">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Fax:                 </w:t>
        <w:tab/>
        <w:t xml:space="preserve">+36 62 546 397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Email:             </w:t>
        <w:tab/>
        <w:t xml:space="preserve">d</w:t>
      </w:r>
      <w:r w:rsidDel="00000000" w:rsidR="00000000" w:rsidRPr="00000000">
        <w:rPr>
          <w:sz w:val="24"/>
          <w:szCs w:val="24"/>
          <w:rtl w:val="0"/>
        </w:rPr>
        <w:t xml:space="preserve">scs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@inf.u-szeged.hu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Honlap:         </w:t>
        <w:tab/>
      </w:r>
      <w:r w:rsidDel="00000000" w:rsidR="00000000" w:rsidRPr="00000000">
        <w:rPr>
          <w:sz w:val="24"/>
          <w:szCs w:val="24"/>
          <w:rtl w:val="0"/>
        </w:rPr>
        <w:t xml:space="preserve">https://www.inf.u-szeged.hu/phd/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2. Az Informatika Doktori Iskola felépítése és vezető testülete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2.1.  Az Informatika Doktori Iskola (továbbiakban DI) munkáját a Doktori Iskola Tanácsa (továbbiakban DIT) koordinálja, irányítja. A Tanács tagjai: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 vezetője, egyben a DIT elnöke, akit a DI törzstagjai választanak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DI vezetőjének helyettese, egyben a DIT elnökének helyettese, akit a DI törzstagjai választanak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 öt további törzstagja, akiket a DI törzstagjai választanak, és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tanácskozási jogú tag a DIT titkára, akit a DIT véleményének kikérése után a DIT elnöke bíz meg.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DIT tagjainak mandátuma három évre szól, a titkár megbízása is három éves. A DIT tagjait akadályoztatásuk esetén előre megválasztott póttagok helyettesíthetik szavazati joggal.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2.2. A DIT szükség szerint, de szemeszterenként legalább egyszer ülésezik. Az ülésekről emlékeztető készül.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2.3. A DIT határozatait nem számmal történő szavazások esetén a többségi határozathozatal szabályai szerint hozza. Szavazategyenlőség esetén az elnök szavazata dönt. (A fokozatszerzési eljárás során az értekezés eljárásra </w:t>
      </w:r>
      <w:r w:rsidDel="00000000" w:rsidR="00000000" w:rsidRPr="00000000">
        <w:rPr>
          <w:sz w:val="24"/>
          <w:szCs w:val="24"/>
          <w:rtl w:val="0"/>
        </w:rPr>
        <w:t xml:space="preserve">bocsáthatóság áról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DIT tagjai számmal szavaznak, ld. később, a fokozatszerzési eljárás szabályainál.) A DIT akkor határozatképes, ha szavazattal rendelkező tagjainak (illetve póttagjainak) többsége részt vesz a szavazáson.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2.4. A DIT szavazásos döntéseit ˗ a személyi ügyek, a fokozatszerzési eljárás indítása, az értekezés eljárásra bocsájthatósága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és a fokozat odaítélésére, illetve elutasítására vonatkozó javaslat kivételével ˗ nyílt szavazással hozza meg. Indokolt esetben bármely tag kérhet, illetve az elnök is kezdeményezhet titkos szavazást, amelyről a DIT egyszerű többséggel, nyílt szavazással dönt.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2.5. A DIT elnöke által előterjesztett ˗ nyílt szavazással eldönthető ˗ konkrét ügyben a DIT döntést hozhat elektronikus úton (e-mail) is. A megadott határidőig nem válaszoló tagok szavazata érvénytelennek tekintendő.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2.6. A DIT üléseinek napirendi pontjait és az ülésein szereplő, döntést igénylő napirendi pontokhoz szükséges anyagokat a tagok számára hozzáférhetővé kell tenni legalább két munkanappal az ülés előtt - ez történhet elektronikusan is.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2.7. A DIT dönt a DI-t érintő alábbi ügyekben (az SZTE doktori szabályzatával összhangban):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új témakiírók megválasztása,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témakiírók által javasolt kutatási témák engedélyezése,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doktori képzés adott félévre meghirdetett tárgyainak meghatározása,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házi védés megtartása,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tanulmányi utak engedélyezése, és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 bevételeivel való gazdálkodás az Informatikai Intézet vezetésével egyetértésben.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2.8. A DIT javaslatot tesz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DI-t érintő alábbi ügyekben: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 Működési Szabályzata és Képzési Terve,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DI-ba jelentkezők felvétele,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fokozatszerzési eljárások indítása (az SZTE vonatkozó szabályzata által előírt esetben),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fokozatszerzési eljárások folytatása,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komplexvizsga tárgyak összeállítása,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komplexvizsga bizottságok és a nyilvános védések bírálóbizottsága tagjai kijelölése,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engedélyezés tanulmányok halasztására,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doktori fokozat odaítélése,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felvételiztető bizottság tagjai kijelölése,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új törzstagok választása,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DI belső tagolódásának meghatározása, és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Kar által az Iskolának ítélt felvételi keretszám betöltése.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2.9. A DI adminisztrációs ügyeit a DIT titkára intézi. A DIT titkára az Informatikai Intézet doktori fokozattal rendelkező oktatója. A titkár által felügyelt feladatok: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kutatási témák összegyűjtése,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adott félévre javasolt kurzusok összegyűjtése, az oktatók felkérése,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DIT döntéseihez szükséges anyagok elkészítése,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hallgatók féléves beszámolóinak begyűjtése, előzetes értékelése,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hallgatói adatok nyilvántartása,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kimutatások, statisztikák készítése,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ODT adatbázis kezelése,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 honlapjának karbantartása.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3. A doktorandusz hallgatók tanulmányai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3.0. A szervezett doktori képzés az SZTE-n nappali tagozaton és levelező munkarendben is lehetséges. A levelező képzési forma a munkahellyel rendelkezők számára biztosít doktori fokozatszerzési lehetőséget.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 A hallgatók a DI honlapján, illetve az ODT adatbázisában meghirdetett témákra jelentkezhetnek a téma kiírójával történő egyeztetés alapján vagy egyéni felkészülőként kapcsolódhatnak be a képzésbe.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 A témakiírókat a DIT hagyja jóvá, a meghirdetett témákat a DIT engedélyezi. Csak olyan doktori fokozattal rendelkező oktató lehet témakiíró, aki a meghirdetett témához kapcsolódóan a doktori fokozat megszerzéséhez szükséges eredményeken túlmutató tudományos eredményekkel rendelkezik.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3.3. A szervezett képzésbe jelentkező hallgatók szóbeli felvételi vizsgán vesznek részt. A felvételi bizottság a szóbeli vizsga, a korábbi tudományos munka és a diploma minősítése alapján kialakított pontszám szerint rangsorolja a jelentkező hallgatókat. A rangsor elején levő hallgatók részesülhetnek állami ösztöndíjban, a többi, a minimum követelményeket elérő jelentkező önköltséges hallgatóként vehet részt a képzésben.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 Egyéni felkészülő komplex vizsgára jelentkezése akkor fogadható el, ha már folytatott a DI profiljába illeszkedő kutatásokat és teljesítette a publikációs követelmények legalább kétharmad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részét.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Egyéni felkészülő mellé a DI konzulenst rendelhet, és számára költségtérítést állapíthat 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eg.</w:t>
      </w:r>
    </w:p>
    <w:p w:rsidR="00000000" w:rsidDel="00000000" w:rsidP="00000000" w:rsidRDefault="00000000" w:rsidRPr="00000000" w14:paraId="00000046">
      <w:pPr>
        <w:pageBreakBefore w:val="0"/>
        <w:spacing w:after="200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Sikeres komplex vizsga esetén a felsőoktatási intézmény elismeri a komplex vizsgára bocsátás feltételéül meghatározott minimum krediteket, azzal, hogy kérelemre az előzetesen megszerzett ismeretek, kompetenciák alapján további krediteket is el lehet ismerni a jogszabályokban megadott felső korlát erejéig (SZTEDSZ VI./52.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3.5. A hallgatók tanulmányaikat a DIT által kialakított és rendszeresen felülvizsgált kreditrendszernek (l. </w:t>
      </w:r>
      <w:r w:rsidDel="00000000" w:rsidR="00000000" w:rsidRPr="00000000">
        <w:rPr>
          <w:sz w:val="24"/>
          <w:szCs w:val="24"/>
          <w:rtl w:val="0"/>
        </w:rPr>
        <w:t xml:space="preserve">Képzési Terv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megfelelően folytatják.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3.6. A hallgató tudományos munkáját és tanulmányait a témavezetője felügyeli.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3.7. A hallgató köteles minden félévet követően az elvégzett munkájáról beszámolót készíteni, és azt a DI titkárának a megadott határidőre benyújtani. A hallgatók beszámolójának </w:t>
      </w:r>
      <w:r w:rsidDel="00000000" w:rsidR="00000000" w:rsidRPr="00000000">
        <w:rPr>
          <w:sz w:val="24"/>
          <w:szCs w:val="24"/>
          <w:rtl w:val="0"/>
        </w:rPr>
        <w:t xml:space="preserve">űrlapja a Doktori Iskola honlapjáról tölthető 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3.8. A hallgatók külföldi részképzésben vehetnek részt. Ösztöndíjas hallgató ösztöndíja folyósítása nem szakad meg a részképzés során. A részképzés alatt külföldön teljesített kurzusok elfogadásáról a DIT dönt.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3.9. A hallgatók tanulmányaik első 4 félévében az Informatikai Intézet kérése esetén kötelesek az Intézet oktatási munkájában gyakorlatok tartásával, a záróvizsgákon való felügyeléssel és jegyzőkönyvvezetéssel részt venni. Egy hallgató maximum szemeszterenként heti 4 óra megtartására kötelezhető, az oktatási munkájáért óradíj adható. Záróvizsgán való felügyeletre illetve jegyzőkönyvvezetésre egy hallgató szemeszterenként maximum két alkalommal kötelezhető.</w:t>
      </w:r>
    </w:p>
    <w:p w:rsidR="00000000" w:rsidDel="00000000" w:rsidP="00000000" w:rsidRDefault="00000000" w:rsidRPr="00000000" w14:paraId="0000004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4. A fokozatszerzési eljárás szabályai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 A PhD fokozatot mind a szervezett képzésben részt vevők, mind az egyéni felkészülők fokozatszerzési eljárás keretében szerezhetik meg. A fokozatszerzési eljárás a komplex vizsga letételéből, a kutatási és disszertációs szakasz teljesítéséből és a doktori disszertáció (értekezés) sikeres megvédéséből áll.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4.2. A jelölt fejtsen ki olyan publikációs tevékenységet, amely teljesíti az </w:t>
      </w:r>
      <w:r w:rsidDel="00000000" w:rsidR="00000000" w:rsidRPr="00000000">
        <w:rPr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Mellékletben szereplő követelményeket.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 A PhD fokozat megszerzéséhez a jelöltnek doktori disszertációt kell benyújtania a komplex vizsgát követő három éven belül. A disszertációval szemben a Szegedi Tudományegyetem Doktori Képzés és Doktori Fokozatszerzés szabályzatában leírt követelményeken felül a DI az alábbiakat írja elő: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disszertáció terjedelme az összefoglalókkal együtt (nem számítva az irodalomjegyzéket) 80-120 oldal legyen,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disszertáció nyelve magyar vagy angol,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disszertációba foglalt eredmények meghatározó részének a beadáskor már publikáltnak, vagy közlésre elfogadottnak kell lennie, továbbá alkalmazások esetén lényeges, hogy az eredmények informatikai szempontból értékelhetők legyenek,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disszertációval együtt be kell adni annak 10-12 oldalas magyar és angol nyelvű tézis-szerű összefoglalását A5-ös méretben, 20 példányt magyar, 5-öt pedig angol nyelven, valamint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példányban a disszertáció eredményeit tartalmazó valamennyi publikáció másolatát,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jelölt adja meg, hogy a publikációs követelmények teljesítésének elbírálását az a) vagy b) területen kéri, mely közleményekkel és minden közlemény </w:t>
      </w:r>
      <w:r w:rsidDel="00000000" w:rsidR="00000000" w:rsidRPr="00000000">
        <w:rPr>
          <w:sz w:val="24"/>
          <w:szCs w:val="24"/>
          <w:rtl w:val="0"/>
        </w:rPr>
        <w:t xml:space="preserve">esetén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adja meg, hogy az mely feltételt teljesíti.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4.4. A disszertációban felhasznált publikációkkal kapcsolatban a jelölt és a témavezető (ha van) nyilatkozatot készít, amely részletezi a jelölt hozzájárulását. Ezen nyilatkozatot a DI titkára minden felhasznált cikk minden társszerzőjének elküldi a jelölttől kapott email címlistára azzal, hogy 1 héten belül nyilatkozzanak, hogy egyetértenek-e a nyilatkozat tartalmával. Amíg bármelyik társszerző kifogást emel az 1 hetes határidőn belül, a fenti eljárást meg kell ismételni. Ezután a DI igazolást állít ki arról, hogy a társszerzők a nyilatkozatot elfogadják. A szükséges sablonok a 2. Mellékletben találhatók.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disszertáció hivatalos benyújtása előtt – a témavezető javaslatára – lehetőség van házi védés tartására. Ennek indításához a </w:t>
      </w:r>
      <w:r w:rsidDel="00000000" w:rsidR="00000000" w:rsidRPr="00000000">
        <w:rPr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Mellékletben szereplő publikációs követelményeket teljesíteni kell, de a disszertáció és a tézisek nem tekintendők feltétlenül véglegesnek, ezért mindkettőn fel kell tüntetni, hogy „Munkaváltozat”. A házi védéses eljárás anyagát a Doktori Iskola titkárának kell benyújtani. A házi védést a témavezető szervezi meg, lebonyolítására nézve a nyilvános védésre vonatkozó eljárás az irányadó. A házi védésen elhangzott észrevételek alapján, valamint az opponensek javaslatára a jelölt átdolgozhatja dolgozatát és téziseit, majd a hivatalosan is benyújtja a disszertációját. A DIT törekszik arra, hogy a házi védéshez felkért opponensek lehetőleg a hivatalos védésen is opponensek legyenek.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sz w:val="24"/>
          <w:szCs w:val="24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Amikor a jelölt az értekezését is benyújtja, akkor a referens megvizsgálja, hogy a jelölt teljesíti-e a szükséges nyelvi és publikációs követelményeket, a dolgozat teljesíti-e a formai követelményeket, a disszertációban szereplő eredmények túlnyomó része publikált-e, tartalmazza-e a szükséges társszerzői nyilatkozatokat majd javaslatot tesz a DIT-nek az értekezés eljárásra bocsátása ügyében. A DIT 0-5 skála használatával titkosan szavaz az értekezés eljárásra bocsátásáról. A lehetséges pontszámok legalább 60%-a szükséges a támogató javaslathoz. A DIT a referens javaslata alapján nyílt szavazással dönt a bíráló bizottságról.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 nyilvános vita eredményének ismeretében a DIT titkosan szavaz a fokozat odaítélésének javaslatáról. </w:t>
      </w:r>
    </w:p>
    <w:p w:rsidR="00000000" w:rsidDel="00000000" w:rsidP="00000000" w:rsidRDefault="00000000" w:rsidRPr="00000000" w14:paraId="0000005B">
      <w:pPr>
        <w:pageBreakBefore w:val="0"/>
        <w:jc w:val="left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5. Nyelvi követelmények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ageBreakBefore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jc w:val="both"/>
        <w:rPr>
          <w:sz w:val="30"/>
          <w:szCs w:val="30"/>
        </w:rPr>
      </w:pPr>
      <w:r w:rsidDel="00000000" w:rsidR="00000000" w:rsidRPr="00000000">
        <w:rPr>
          <w:sz w:val="24"/>
          <w:szCs w:val="24"/>
          <w:rtl w:val="0"/>
        </w:rPr>
        <w:t xml:space="preserve">5.1. A törvényben előírt két nyelv közül az egyik az angol. A másik nyelv a német, a francia, az olasz, a spanyol és az orosz nyelvek valamelyike, illetve valamelyik szomszédos ország hivatalos nyelve kell legyen. Emellett, a jelölt kérelmére, a Doktori Iskola Tanácsa elfogadhat olyan további idegen nyelvet, amelyről a jelölt igazolni tudja, hogy a tudományos munkájában használja</w:t>
      </w:r>
      <w:r w:rsidDel="00000000" w:rsidR="00000000" w:rsidRPr="00000000">
        <w:rPr>
          <w:sz w:val="30"/>
          <w:szCs w:val="30"/>
          <w:rtl w:val="0"/>
        </w:rPr>
        <w:t xml:space="preserve">. </w:t>
      </w:r>
    </w:p>
    <w:p w:rsidR="00000000" w:rsidDel="00000000" w:rsidP="00000000" w:rsidRDefault="00000000" w:rsidRPr="00000000" w14:paraId="0000005E">
      <w:pPr>
        <w:pageBreakBefore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2021. július 7.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Melléklet: Publikációs követelmények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publikációs követelmények két területen, az általános- vagy a műszaki informatikain teljesíthetők. A doktorjelölt adja meg, hogy ezek közül mely terület követelményei szerint kéri a pályázatának elbírálását. Mindkét területen elegendő igazolni a közlemények közlésre való elfogadását.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általános informatikai terület követelményei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doktorjelölt teljes terjedelmű és eredményeiben új közleményeinek összesített pontszáma legyen legalább 2.5. Az egyes közlemények pontszáma: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1-szerzős cikk: 1.00 pont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2-szerzős cikk: 0.75 pont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3-szerzős cikk: 0.60 pont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4-szerzős cikk: 0.48 pont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5-szerzős cikk: 0.40 pont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6-szerzős cikk: 0.32 pont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7-szerzős cikk: 0.25 pont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8-szerzős cikk: 0.20 pont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9-szerzős cikk: 0.15 pont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 vagy annál több szerzővel közölt cikk: 0.10 pont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általános informatikai területen az alábbiak számítanak publikációnak: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Lektorált folyóiratcikk: Ha olyan folyóiratban jelent meg, amelyet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Mathematical Reviews, a Zentralblatt für Mathematik, Computing Reviews vagy az Inspec referál, vagy amely szerepel a Web of Science, vagy a Scopus listáján, vagy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valamely neves kiadó jelentetett meg (Academic Press, ACM, Cambridge University Press, IEEE Computer Society, IOS, Kluwer, MIT Press, Oxford University Press, Springer-Verlag, Elsevier, Wiley &amp; Sons, World Scientific, Addison Wesley, Prentice Hall, North Holland, Birkhauser), elismert szakmai fórumot képez és nemzetközileg elismert szerkesztő bizottsággal rendelkezik.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Könyv, könyvfejezet: Ha olyan könyv vagy olyan kiadványban jelent meg, amelyet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Mathematical Reviews, a Zentralblatt für Mathematik, Computing Reviews vagy az Inspec referál, vagy amely szerepel a Web of Science, vagy a Scopus listáján, vagy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valamely neves kiadó jelentetett meg (Academic Press, ACM, Cambridge University Press, IEEE Computer Society, IOS, Kluwer, MIT Press, Oxford University Press, Springer-Verlag,  Elsevier, Wiley &amp; Sons, World Scientific, Addison Wesley, Prentice Hall, North Holland, Birkhauser) és elismert szakmai fórumot képez.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Konferencia (symposium, workshop) kiadványban megjelent publikáció: Ha olyan kiadványban jelent meg, amelyet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Mathematical Reviews, a Zentralblatt für Mathematik, Computing Reviews vagy az Inspec referál, vagy amely szerepel a Web of Science, vagy a Scopus listáján vagy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olyan nemzetközi konferencia (symposium, workshop) kiadványa, amely a terület nemzetközileg elismert rangos szakmai fóruma, nemzetközi programbizottsággal, továbbá az elfogadott cikkek szerzőinek több mint 50%-a külföldi és az elfogadási arány általában legfeljebb 50%.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műszaki informatikai terület követelményei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doktorjelöltnek legyen legalább 4 olyan teljes terjedelmű és eredményeiben új közleménye, amelyekre teljesüljenek az alábbi feltételek: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összesített pontszámuk eléri a 12 pontot,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közülük legalább 2 lektorált, idegen nyelvű folyóiratcikk, melyek közül legalább egy egyik olyan folyóiratban jelent (vagy jelenik) meg, ami szerepel a Web of Science vagy a Scopus listáján és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közülük legalább 2 idegen nyelvű, amelyekben eléri az alábbi pontszámok legalább 50%-át.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publikációk pontozása: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Könyv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Idegen nyelvű</w:t>
        <w:tab/>
        <w:tab/>
        <w:tab/>
        <w:tab/>
        <w:tab/>
        <w:tab/>
        <w:tab/>
        <w:tab/>
        <w:t xml:space="preserve">8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 nyelvű</w:t>
        <w:tab/>
        <w:tab/>
        <w:tab/>
        <w:tab/>
        <w:tab/>
        <w:tab/>
        <w:tab/>
        <w:t xml:space="preserve">5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Könyvrész, könyvfejezet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Idegen nyelvű</w:t>
        <w:tab/>
        <w:tab/>
        <w:tab/>
        <w:tab/>
        <w:tab/>
        <w:tab/>
        <w:tab/>
        <w:tab/>
        <w:t xml:space="preserve">6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 nyelvű</w:t>
        <w:tab/>
        <w:tab/>
        <w:tab/>
        <w:tab/>
        <w:tab/>
        <w:tab/>
        <w:tab/>
        <w:t xml:space="preserve">3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Folyóiratcikkek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Lektorált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Külföldön megjelent idegen nyelvű</w:t>
        <w:tab/>
        <w:tab/>
        <w:tab/>
        <w:tab/>
        <w:t xml:space="preserve">6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Magyarországon megjelent idegen nyelvű</w:t>
        <w:tab/>
        <w:tab/>
        <w:tab/>
        <w:t xml:space="preserve">4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 nyelvű</w:t>
        <w:tab/>
        <w:tab/>
        <w:tab/>
        <w:tab/>
        <w:tab/>
        <w:tab/>
        <w:t xml:space="preserve">2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Nem lektorált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Külföldön megjelent idegen nyelvű</w:t>
        <w:tab/>
        <w:tab/>
        <w:tab/>
        <w:tab/>
        <w:t xml:space="preserve">3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Magyarországon megjelent idegen nyelvű</w:t>
        <w:tab/>
        <w:tab/>
        <w:tab/>
        <w:t xml:space="preserve">2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 nyelvű</w:t>
        <w:tab/>
        <w:tab/>
        <w:tab/>
        <w:tab/>
        <w:tab/>
        <w:tab/>
        <w:t xml:space="preserve">1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Konferencia kiadványában megjelent legalább 4-oldalas cikk 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Nemzetközi részvételű, idegen nyelvű</w:t>
        <w:tab/>
        <w:tab/>
        <w:tab/>
        <w:tab/>
        <w:t xml:space="preserve">3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Hazai részvételű, idegen nyelvű</w:t>
        <w:tab/>
        <w:tab/>
        <w:tab/>
        <w:tab/>
        <w:tab/>
        <w:t xml:space="preserve">2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Magyar nyelvű</w:t>
        <w:tab/>
        <w:tab/>
        <w:tab/>
        <w:tab/>
        <w:tab/>
        <w:tab/>
        <w:tab/>
        <w:t xml:space="preserve">1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Szabadalom</w:t>
        <w:tab/>
        <w:tab/>
        <w:tab/>
        <w:tab/>
        <w:tab/>
        <w:tab/>
        <w:tab/>
        <w:tab/>
        <w:tab/>
        <w:t xml:space="preserve">2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Elektronikus publikáció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1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fenti pontszámok osztandók a szerzők számával, melybe a témavezetőt és a társ-témavezetőt nem kell beszámítani.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Melléklet: A társszerzői nyilatkozat szövege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A témavezető aláírása csak akkor kell, ha van témavezető. Csak 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agyar társszerzők esetén</w:t>
      </w:r>
      <w:r w:rsidDel="00000000" w:rsidR="00000000" w:rsidRPr="00000000">
        <w:rPr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yilatkozat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&lt;jelölt neve&gt;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“&lt;disszertáció címe&gt;”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című PhD disszertációj</w:t>
      </w:r>
      <w:r w:rsidDel="00000000" w:rsidR="00000000" w:rsidRPr="00000000">
        <w:rPr>
          <w:sz w:val="24"/>
          <w:szCs w:val="24"/>
          <w:rtl w:val="0"/>
        </w:rPr>
        <w:t xml:space="preserve">ában 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következő eredményekben </w:t>
      </w:r>
      <w:r w:rsidDel="00000000" w:rsidR="00000000" w:rsidRPr="00000000">
        <w:rPr>
          <w:sz w:val="24"/>
          <w:szCs w:val="24"/>
          <w:rtl w:val="0"/>
        </w:rPr>
        <w:t xml:space="preserve">&lt;jelölt neve&gt;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hozzájárulása volt a meghatározó: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&lt;eredmények listája hivatkozással a tézispontokra/fejezetekre aminek részei és a cikkekre amelyben megjelentek&gt;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zek az eredmények</w:t>
      </w:r>
      <w:r w:rsidDel="00000000" w:rsidR="00000000" w:rsidRPr="00000000">
        <w:rPr>
          <w:sz w:val="24"/>
          <w:szCs w:val="24"/>
          <w:rtl w:val="0"/>
        </w:rPr>
        <w:t xml:space="preserve"> &lt;jelölt neve&gt; PhD disszertációján kívül más tudományos fokozat megszerzésére nem használhatók fel.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dátum,  jelölt aláírása, témavezető aláírása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Az Informatika Doktori Iskola vezetője kijelenti, hogy jelen nyilatkozatot minden társszerzőhöz eljuttatta, és azzal szemben egyetlen társszerző sem emelt kifogást.</w:t>
      </w:r>
    </w:p>
    <w:p w:rsidR="00000000" w:rsidDel="00000000" w:rsidP="00000000" w:rsidRDefault="00000000" w:rsidRPr="00000000" w14:paraId="000000B5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dátum, DI vezető aláírás</w:t>
      </w:r>
    </w:p>
    <w:p w:rsidR="00000000" w:rsidDel="00000000" w:rsidP="00000000" w:rsidRDefault="00000000" w:rsidRPr="00000000" w14:paraId="000000B7">
      <w:pPr>
        <w:pageBreakBefore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ageBreakBefore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 akár csak egy külföldi társszerző is van, a nyilatkozatot angolul kell elkészíteni:</w:t>
      </w:r>
    </w:p>
    <w:p w:rsidR="00000000" w:rsidDel="00000000" w:rsidP="00000000" w:rsidRDefault="00000000" w:rsidRPr="00000000" w14:paraId="000000B9">
      <w:pPr>
        <w:pageBreakBefore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the PhD dissertation of &lt;name of candidate&gt;  entitled &lt;title of thesis&gt;, &lt;name of candidate&gt;'s contribution was decisive in the following results:</w:t>
      </w:r>
    </w:p>
    <w:p w:rsidR="00000000" w:rsidDel="00000000" w:rsidP="00000000" w:rsidRDefault="00000000" w:rsidRPr="00000000" w14:paraId="000000BD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&lt;list of results with reference to the thesis points/sections in which they are part of and to papers in which they appeared&gt;</w:t>
      </w:r>
    </w:p>
    <w:p w:rsidR="00000000" w:rsidDel="00000000" w:rsidP="00000000" w:rsidRDefault="00000000" w:rsidRPr="00000000" w14:paraId="000000BF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These results cannot be used to obtain an academic research degree, other than the submitted PhD thesis of &lt;name of candidate&gt;.</w:t>
      </w:r>
    </w:p>
    <w:p w:rsidR="00000000" w:rsidDel="00000000" w:rsidP="00000000" w:rsidRDefault="00000000" w:rsidRPr="00000000" w14:paraId="000000C1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date, signature of candidate, signature of supervisor</w:t>
      </w:r>
    </w:p>
    <w:p w:rsidR="00000000" w:rsidDel="00000000" w:rsidP="00000000" w:rsidRDefault="00000000" w:rsidRPr="00000000" w14:paraId="000000C3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head of the Doctoral School of Computer Science declares that the declaration above was sent to all of the coauthors and none of them raised any objections against it.</w:t>
      </w:r>
    </w:p>
    <w:p w:rsidR="00000000" w:rsidDel="00000000" w:rsidP="00000000" w:rsidRDefault="00000000" w:rsidRPr="00000000" w14:paraId="000000C5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C6">
      <w:pPr>
        <w:pageBreakBefore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date, signature of head of Doctoral School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Folyóirat/cég honlapján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google scholar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-ral megtalálható (a saját honlapon való megjelentetés nem számít pontozható publikációnak).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hu-HU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