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A510" w14:textId="77777777" w:rsidR="00CE1125" w:rsidRPr="00187650" w:rsidRDefault="00513D97" w:rsidP="00E30F40">
      <w:pPr>
        <w:spacing w:before="120"/>
        <w:jc w:val="center"/>
        <w:rPr>
          <w:b/>
        </w:rPr>
      </w:pPr>
      <w:r w:rsidRPr="00187650">
        <w:rPr>
          <w:b/>
        </w:rPr>
        <w:t>ZÁRÓVIZSGA TÉTELEK</w:t>
      </w:r>
    </w:p>
    <w:p w14:paraId="3DAD3B5E" w14:textId="45B3D870" w:rsidR="00CE1125" w:rsidRPr="00187650" w:rsidRDefault="000738A3" w:rsidP="00E30F40">
      <w:pPr>
        <w:spacing w:before="120" w:after="120"/>
        <w:jc w:val="center"/>
        <w:rPr>
          <w:b/>
        </w:rPr>
      </w:pPr>
      <w:r w:rsidRPr="000738A3">
        <w:rPr>
          <w:b/>
        </w:rPr>
        <w:t>2025. JÚNIUS ÉS 2026. JANUÁR</w:t>
      </w:r>
    </w:p>
    <w:p w14:paraId="39CB55D9" w14:textId="77777777" w:rsidR="00CE1125" w:rsidRPr="00187650" w:rsidRDefault="00513D97" w:rsidP="002E0A6F">
      <w:pPr>
        <w:jc w:val="center"/>
        <w:rPr>
          <w:b/>
        </w:rPr>
      </w:pPr>
      <w:r w:rsidRPr="00187650">
        <w:rPr>
          <w:b/>
        </w:rPr>
        <w:t>INFO-BIONIKA MÉRNÖKI MSC SZAK</w:t>
      </w:r>
    </w:p>
    <w:p w14:paraId="2EE5DDB4" w14:textId="6DC74DDC" w:rsidR="00802172" w:rsidRPr="00187650" w:rsidRDefault="00802172" w:rsidP="00802172"/>
    <w:p w14:paraId="100E033C" w14:textId="77777777" w:rsidR="0015084D" w:rsidRPr="00187650" w:rsidRDefault="0015084D" w:rsidP="002E0A6F">
      <w:pPr>
        <w:jc w:val="center"/>
        <w:rPr>
          <w:b/>
          <w:i/>
        </w:rPr>
      </w:pPr>
      <w:r w:rsidRPr="00187650">
        <w:rPr>
          <w:b/>
          <w:i/>
        </w:rPr>
        <w:t>Informatika</w:t>
      </w:r>
    </w:p>
    <w:p w14:paraId="049ECEB8" w14:textId="77777777" w:rsidR="0015084D" w:rsidRPr="00187650" w:rsidRDefault="0015084D" w:rsidP="002E0A6F">
      <w:pPr>
        <w:jc w:val="both"/>
      </w:pPr>
    </w:p>
    <w:p w14:paraId="5B6D2BFA" w14:textId="77777777" w:rsidR="00726D9B" w:rsidRPr="00187650" w:rsidRDefault="00726D9B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 xml:space="preserve">Közelítő és szimbolikus számítások haladóknak </w:t>
      </w:r>
    </w:p>
    <w:p w14:paraId="063D0C70" w14:textId="77777777" w:rsidR="00726D9B" w:rsidRPr="00187650" w:rsidRDefault="00726D9B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>Ortogonális transzformációk használata a lineáris algebra numerikus módszereiben (ortogonális-</w:t>
      </w:r>
      <w:proofErr w:type="spellStart"/>
      <w:r w:rsidRPr="00187650">
        <w:t>trianguláris</w:t>
      </w:r>
      <w:proofErr w:type="spellEnd"/>
      <w:r w:rsidRPr="00187650">
        <w:t xml:space="preserve"> felbontások, speciális alakra transzformálás, QR-algoritmus). </w:t>
      </w:r>
    </w:p>
    <w:p w14:paraId="6F12C667" w14:textId="77777777" w:rsidR="00726D9B" w:rsidRPr="00187650" w:rsidRDefault="00726D9B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>Folytonos függvények közelítései (</w:t>
      </w:r>
      <w:proofErr w:type="spellStart"/>
      <w:r w:rsidRPr="00187650">
        <w:t>spline</w:t>
      </w:r>
      <w:proofErr w:type="spellEnd"/>
      <w:r w:rsidRPr="00187650">
        <w:t>- és trigonometrikus interpoláció, négyzetes és egyenletesen legjobb közelítések).</w:t>
      </w:r>
    </w:p>
    <w:p w14:paraId="3E525395" w14:textId="77777777" w:rsidR="00FF4106" w:rsidRPr="00187650" w:rsidRDefault="00FF4106" w:rsidP="00FF4106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Neurális áramkörök elmélete és alkalm</w:t>
      </w:r>
      <w:r w:rsidR="00342D65" w:rsidRPr="00187650">
        <w:rPr>
          <w:b/>
          <w:i/>
        </w:rPr>
        <w:t>azása (2016/17/2 félévben vagy előtte teljesített kurzus esetén</w:t>
      </w:r>
      <w:r w:rsidRPr="00187650">
        <w:rPr>
          <w:b/>
          <w:i/>
        </w:rPr>
        <w:t>)</w:t>
      </w:r>
    </w:p>
    <w:p w14:paraId="775D3FD6" w14:textId="77777777" w:rsidR="00FF4106" w:rsidRPr="00187650" w:rsidRDefault="00FF4106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 xml:space="preserve">Többrétegű </w:t>
      </w:r>
      <w:proofErr w:type="spellStart"/>
      <w:r w:rsidRPr="00187650">
        <w:t>perceptron</w:t>
      </w:r>
      <w:proofErr w:type="spellEnd"/>
      <w:r w:rsidRPr="00187650">
        <w:t xml:space="preserve"> hálózat tanítása, a hiba-visszaterjesztés (back-</w:t>
      </w:r>
      <w:proofErr w:type="spellStart"/>
      <w:r w:rsidRPr="00187650">
        <w:t>propagation</w:t>
      </w:r>
      <w:proofErr w:type="spellEnd"/>
      <w:r w:rsidRPr="00187650">
        <w:t>) módszere.</w:t>
      </w:r>
    </w:p>
    <w:p w14:paraId="4F66E43C" w14:textId="77777777" w:rsidR="00FF4106" w:rsidRPr="00187650" w:rsidRDefault="00FF4106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 xml:space="preserve">Celluláris Neurális Hálózatok felépítése, peremfeltételek, stabilitás, </w:t>
      </w:r>
      <w:proofErr w:type="spellStart"/>
      <w:r w:rsidRPr="00187650">
        <w:t>diszkretizálás</w:t>
      </w:r>
      <w:proofErr w:type="spellEnd"/>
      <w:r w:rsidRPr="00187650">
        <w:t xml:space="preserve"> explicit Euler formulával. A CNN-UM és megvalósítási lehetőségei.</w:t>
      </w:r>
    </w:p>
    <w:p w14:paraId="394EB66D" w14:textId="5B28480B" w:rsidR="00A83334" w:rsidRPr="00187650" w:rsidRDefault="00F456B7" w:rsidP="00A83334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Neurális áramkörök elmélete és alkalmazása</w:t>
      </w:r>
      <w:r w:rsidR="007925E7" w:rsidRPr="00187650">
        <w:rPr>
          <w:b/>
          <w:i/>
        </w:rPr>
        <w:t xml:space="preserve"> </w:t>
      </w:r>
      <w:r w:rsidR="00342D65" w:rsidRPr="00187650">
        <w:rPr>
          <w:b/>
          <w:i/>
        </w:rPr>
        <w:t>(2017/18/2 félévben vagy utána teljesített kurzus esetén)</w:t>
      </w:r>
      <w:r w:rsidR="00FF4106" w:rsidRPr="00187650">
        <w:rPr>
          <w:b/>
          <w:i/>
        </w:rPr>
        <w:t>)</w:t>
      </w:r>
    </w:p>
    <w:p w14:paraId="1BB94B44" w14:textId="77777777" w:rsidR="00A83334" w:rsidRPr="00187650" w:rsidRDefault="00A83334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Többrétegű neuronhálók tanítása a hiba-visszaterjesztés (back-</w:t>
      </w:r>
      <w:proofErr w:type="spellStart"/>
      <w:r w:rsidRPr="00187650">
        <w:t>propagation</w:t>
      </w:r>
      <w:proofErr w:type="spellEnd"/>
      <w:r w:rsidRPr="00187650">
        <w:t>) módszerével.</w:t>
      </w:r>
    </w:p>
    <w:p w14:paraId="2E89371C" w14:textId="77777777" w:rsidR="00A83334" w:rsidRPr="00187650" w:rsidRDefault="00A83334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Mély neuronhálók, </w:t>
      </w:r>
      <w:proofErr w:type="spellStart"/>
      <w:r w:rsidRPr="00187650">
        <w:t>konvolúciós</w:t>
      </w:r>
      <w:proofErr w:type="spellEnd"/>
      <w:r w:rsidRPr="00187650">
        <w:t xml:space="preserve"> neuronhálók, </w:t>
      </w:r>
      <w:proofErr w:type="spellStart"/>
      <w:r w:rsidRPr="00187650">
        <w:t>rekurrens</w:t>
      </w:r>
      <w:proofErr w:type="spellEnd"/>
      <w:r w:rsidRPr="00187650">
        <w:t xml:space="preserve"> neuronhálók</w:t>
      </w:r>
    </w:p>
    <w:p w14:paraId="61140AFB" w14:textId="77777777" w:rsidR="007A0CAD" w:rsidRPr="00E40256" w:rsidRDefault="007A0CAD" w:rsidP="002E0A6F">
      <w:pPr>
        <w:keepNext/>
        <w:spacing w:before="240" w:after="120"/>
        <w:jc w:val="both"/>
        <w:rPr>
          <w:b/>
          <w:i/>
        </w:rPr>
      </w:pPr>
      <w:r w:rsidRPr="00E40256">
        <w:rPr>
          <w:b/>
          <w:i/>
        </w:rPr>
        <w:t>Digitális képfeldolgozás</w:t>
      </w:r>
    </w:p>
    <w:p w14:paraId="51C06868" w14:textId="21DFD572" w:rsidR="00726D4B" w:rsidRPr="00E40256" w:rsidRDefault="00726D4B" w:rsidP="001B7591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E40256">
        <w:t>Szűrés képtérben (átlagoló szűrő, Gauss-</w:t>
      </w:r>
      <w:proofErr w:type="spellStart"/>
      <w:r w:rsidRPr="00E40256">
        <w:t>simírás</w:t>
      </w:r>
      <w:proofErr w:type="spellEnd"/>
      <w:r w:rsidRPr="00E40256">
        <w:t>, medián- és min-</w:t>
      </w:r>
      <w:proofErr w:type="spellStart"/>
      <w:r w:rsidRPr="00E40256">
        <w:t>max</w:t>
      </w:r>
      <w:proofErr w:type="spellEnd"/>
      <w:r w:rsidRPr="00E40256">
        <w:t xml:space="preserve"> szűrés) és frekvenciatérben (</w:t>
      </w:r>
      <w:proofErr w:type="spellStart"/>
      <w:r w:rsidRPr="00E40256">
        <w:t>konvolúciós</w:t>
      </w:r>
      <w:proofErr w:type="spellEnd"/>
      <w:r w:rsidRPr="00E40256">
        <w:t xml:space="preserve"> tétel, az alul- és felül-áteresztő szűrés frekvencia-maszkjai)</w:t>
      </w:r>
    </w:p>
    <w:p w14:paraId="7AA01199" w14:textId="77777777" w:rsidR="005D04D5" w:rsidRPr="00187650" w:rsidRDefault="005D04D5" w:rsidP="005D04D5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FPGA alapú rendszerek tervezése (2022 őszi félév előtt)</w:t>
      </w:r>
    </w:p>
    <w:p w14:paraId="69D008B9" w14:textId="77777777" w:rsidR="005D04D5" w:rsidRPr="00187650" w:rsidRDefault="005D04D5" w:rsidP="005D04D5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FPGA architektúra általános felépítése, a három fő részegység (programozható logikai blokk, programozható összeköttetés hálózat, programozható I/O blokk) felépítése, megvalósítási módjai. A </w:t>
      </w:r>
      <w:proofErr w:type="spellStart"/>
      <w:r w:rsidRPr="00187650">
        <w:t>Xilinx</w:t>
      </w:r>
      <w:proofErr w:type="spellEnd"/>
      <w:r w:rsidRPr="00187650">
        <w:t xml:space="preserve"> FPGA család: </w:t>
      </w:r>
      <w:proofErr w:type="spellStart"/>
      <w:r w:rsidRPr="00187650">
        <w:t>Virtex</w:t>
      </w:r>
      <w:proofErr w:type="spellEnd"/>
      <w:r w:rsidRPr="00187650">
        <w:t xml:space="preserve">, </w:t>
      </w:r>
      <w:proofErr w:type="spellStart"/>
      <w:r w:rsidRPr="00187650">
        <w:t>Virtex</w:t>
      </w:r>
      <w:proofErr w:type="spellEnd"/>
      <w:r w:rsidRPr="00187650">
        <w:t xml:space="preserve">-II, Virtex-4, Virtex-5, Virtex-6, Virtex-7, Kintex-7, Artix-7, Spartan-6, </w:t>
      </w:r>
      <w:proofErr w:type="spellStart"/>
      <w:r w:rsidRPr="00187650">
        <w:t>Zync</w:t>
      </w:r>
      <w:proofErr w:type="spellEnd"/>
      <w:r w:rsidRPr="00187650">
        <w:t>.</w:t>
      </w:r>
    </w:p>
    <w:p w14:paraId="6CEBA202" w14:textId="77777777" w:rsidR="005D04D5" w:rsidRPr="00187650" w:rsidRDefault="005D04D5" w:rsidP="005D04D5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A </w:t>
      </w:r>
      <w:proofErr w:type="spellStart"/>
      <w:r w:rsidRPr="00187650">
        <w:t>Xilinx</w:t>
      </w:r>
      <w:proofErr w:type="spellEnd"/>
      <w:r w:rsidRPr="00187650">
        <w:t xml:space="preserve"> rendszertervezés lépései. A VHDL programozási nyelv: nyelvi elemek és konvenciók, entitás és architektúra deklaráció, típus deklarációk, altípusok, attribútumok, szabványos adattípusok, operátorok, tervezői könyvtárak, konstansok, változók, jelek, </w:t>
      </w:r>
      <w:proofErr w:type="spellStart"/>
      <w:r w:rsidRPr="00187650">
        <w:t>példányosítás</w:t>
      </w:r>
      <w:proofErr w:type="spellEnd"/>
      <w:r w:rsidRPr="00187650">
        <w:t xml:space="preserve">, egyidejű és szekvenciális </w:t>
      </w:r>
      <w:proofErr w:type="spellStart"/>
      <w:r w:rsidRPr="00187650">
        <w:t>jelhozzárendelések</w:t>
      </w:r>
      <w:proofErr w:type="spellEnd"/>
      <w:r w:rsidRPr="00187650">
        <w:t>, nem kívánt memória problémája, strukturális és viselkedési modellek, szekvenciális hálózatok megvalósítása, állapotgépek.</w:t>
      </w:r>
    </w:p>
    <w:p w14:paraId="26B309C9" w14:textId="77777777" w:rsidR="005D04D5" w:rsidRPr="00187650" w:rsidRDefault="005D04D5" w:rsidP="005D04D5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FPGA alapú beágyazott rendszerek: </w:t>
      </w:r>
      <w:proofErr w:type="spellStart"/>
      <w:r w:rsidRPr="00187650">
        <w:t>Xilinx</w:t>
      </w:r>
      <w:proofErr w:type="spellEnd"/>
      <w:r w:rsidRPr="00187650">
        <w:t xml:space="preserve"> Platform </w:t>
      </w:r>
      <w:proofErr w:type="spellStart"/>
      <w:r w:rsidRPr="00187650">
        <w:t>Studio</w:t>
      </w:r>
      <w:proofErr w:type="spellEnd"/>
      <w:r w:rsidRPr="00187650">
        <w:t xml:space="preserve"> (EDK/SDK), FPGA alapú beágyazott rendszerek tervezésének főbb lépései, </w:t>
      </w:r>
      <w:proofErr w:type="spellStart"/>
      <w:r w:rsidRPr="00187650">
        <w:t>MicroBlaze</w:t>
      </w:r>
      <w:proofErr w:type="spellEnd"/>
      <w:r w:rsidRPr="00187650">
        <w:t xml:space="preserve"> processzor mag, alkalmazható busz típusok: PLB busz, AXI </w:t>
      </w:r>
      <w:proofErr w:type="spellStart"/>
      <w:r w:rsidRPr="00187650">
        <w:t>interface</w:t>
      </w:r>
      <w:proofErr w:type="spellEnd"/>
      <w:r w:rsidRPr="00187650">
        <w:t>, LMB busz, FSL, XCL.</w:t>
      </w:r>
    </w:p>
    <w:p w14:paraId="3D8B1C97" w14:textId="77777777" w:rsidR="005D04D5" w:rsidRPr="00187650" w:rsidRDefault="005D04D5" w:rsidP="005D04D5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lastRenderedPageBreak/>
        <w:t>FPGA alapú rendszerek tervezése (2022 őszi félévtől)</w:t>
      </w:r>
    </w:p>
    <w:p w14:paraId="1CD4AC04" w14:textId="77777777" w:rsidR="005D04D5" w:rsidRPr="00187650" w:rsidRDefault="005D04D5" w:rsidP="005D04D5">
      <w:pPr>
        <w:pStyle w:val="Listaszerbekezds"/>
        <w:numPr>
          <w:ilvl w:val="0"/>
          <w:numId w:val="21"/>
        </w:numPr>
        <w:spacing w:after="120"/>
        <w:contextualSpacing w:val="0"/>
        <w:jc w:val="both"/>
      </w:pPr>
      <w:r w:rsidRPr="00187650">
        <w:t>CAD (Computer-</w:t>
      </w:r>
      <w:proofErr w:type="spellStart"/>
      <w:r w:rsidRPr="00187650">
        <w:t>Aided</w:t>
      </w:r>
      <w:proofErr w:type="spellEnd"/>
      <w:r w:rsidRPr="00187650">
        <w:t xml:space="preserve">-Design) tervezés lépései. Hardver leíró nyelvek. A kombinációs és szekvenciális logikák VHDL leírása. VHDL modulok. </w:t>
      </w:r>
      <w:proofErr w:type="spellStart"/>
      <w:r w:rsidRPr="00187650">
        <w:t>Wait</w:t>
      </w:r>
      <w:proofErr w:type="spellEnd"/>
      <w:r w:rsidRPr="00187650">
        <w:t xml:space="preserve"> utasítás a VHDL </w:t>
      </w:r>
      <w:proofErr w:type="spellStart"/>
      <w:r w:rsidRPr="00187650">
        <w:t>process-ekben</w:t>
      </w:r>
      <w:proofErr w:type="spellEnd"/>
      <w:r w:rsidRPr="00187650">
        <w:t xml:space="preserve">. VHDL kód fordítása, szimulációja és szintézise. Viselkedési és strukturális VHDL leírások. </w:t>
      </w:r>
      <w:proofErr w:type="spellStart"/>
      <w:r w:rsidRPr="00187650">
        <w:t>Assert</w:t>
      </w:r>
      <w:proofErr w:type="spellEnd"/>
      <w:r w:rsidRPr="00187650">
        <w:t xml:space="preserve"> és </w:t>
      </w:r>
      <w:proofErr w:type="spellStart"/>
      <w:r w:rsidRPr="00187650">
        <w:t>Report</w:t>
      </w:r>
      <w:proofErr w:type="spellEnd"/>
      <w:r w:rsidRPr="00187650">
        <w:t xml:space="preserve"> utasítások.</w:t>
      </w:r>
    </w:p>
    <w:p w14:paraId="25D7E328" w14:textId="77777777" w:rsidR="005D04D5" w:rsidRPr="00187650" w:rsidRDefault="005D04D5" w:rsidP="005D04D5">
      <w:pPr>
        <w:pStyle w:val="Listaszerbekezds"/>
        <w:numPr>
          <w:ilvl w:val="0"/>
          <w:numId w:val="21"/>
        </w:numPr>
        <w:spacing w:after="120"/>
        <w:contextualSpacing w:val="0"/>
        <w:jc w:val="both"/>
      </w:pPr>
      <w:r w:rsidRPr="00187650">
        <w:t xml:space="preserve">A programozható logikai eszközök áttekintése. Egyszerű programozható logikai eszközök. Komplex programozható logikai eszközök. </w:t>
      </w:r>
      <w:proofErr w:type="spellStart"/>
      <w:r w:rsidRPr="00187650">
        <w:t>Field</w:t>
      </w:r>
      <w:proofErr w:type="spellEnd"/>
      <w:r w:rsidRPr="00187650">
        <w:t xml:space="preserve"> </w:t>
      </w:r>
      <w:proofErr w:type="spellStart"/>
      <w:r w:rsidRPr="00187650">
        <w:t>Programmable</w:t>
      </w:r>
      <w:proofErr w:type="spellEnd"/>
      <w:r w:rsidRPr="00187650">
        <w:t xml:space="preserve"> Gate </w:t>
      </w:r>
      <w:proofErr w:type="spellStart"/>
      <w:r w:rsidRPr="00187650">
        <w:t>Arrays</w:t>
      </w:r>
      <w:proofErr w:type="spellEnd"/>
      <w:r w:rsidRPr="00187650">
        <w:t>.</w:t>
      </w:r>
    </w:p>
    <w:p w14:paraId="663236DE" w14:textId="77777777" w:rsidR="005D04D5" w:rsidRPr="00187650" w:rsidRDefault="005D04D5" w:rsidP="005D04D5">
      <w:pPr>
        <w:pStyle w:val="Listaszerbekezds"/>
        <w:numPr>
          <w:ilvl w:val="0"/>
          <w:numId w:val="21"/>
        </w:numPr>
        <w:spacing w:after="120"/>
        <w:contextualSpacing w:val="0"/>
        <w:jc w:val="both"/>
      </w:pPr>
      <w:r w:rsidRPr="00187650">
        <w:t xml:space="preserve">Függvények implementálása FPGA-ara a Shannon </w:t>
      </w:r>
      <w:proofErr w:type="spellStart"/>
      <w:r w:rsidRPr="00187650">
        <w:t>dekompozíció</w:t>
      </w:r>
      <w:proofErr w:type="spellEnd"/>
      <w:r w:rsidRPr="00187650">
        <w:t xml:space="preserve"> alkalmazásával. </w:t>
      </w:r>
      <w:proofErr w:type="spellStart"/>
      <w:r w:rsidRPr="00187650">
        <w:t>Carry</w:t>
      </w:r>
      <w:proofErr w:type="spellEnd"/>
      <w:r w:rsidRPr="00187650">
        <w:t xml:space="preserve"> és </w:t>
      </w:r>
      <w:proofErr w:type="spellStart"/>
      <w:r w:rsidRPr="00187650">
        <w:t>cascade</w:t>
      </w:r>
      <w:proofErr w:type="spellEnd"/>
      <w:r w:rsidRPr="00187650">
        <w:t xml:space="preserve"> láncok az FPGA-ban. Logikai blokk, dedikált memóriák és szorzók a kereskedelmi FPGA-</w:t>
      </w:r>
      <w:proofErr w:type="spellStart"/>
      <w:r w:rsidRPr="00187650">
        <w:t>akban</w:t>
      </w:r>
      <w:proofErr w:type="spellEnd"/>
      <w:r w:rsidRPr="00187650">
        <w:t xml:space="preserve">. A programozhatóság költsége. Terv fordítása (szintézis). </w:t>
      </w:r>
      <w:proofErr w:type="spellStart"/>
      <w:r w:rsidRPr="00187650">
        <w:t>Mapping</w:t>
      </w:r>
      <w:proofErr w:type="spellEnd"/>
      <w:r w:rsidRPr="00187650">
        <w:t xml:space="preserve">, </w:t>
      </w:r>
      <w:proofErr w:type="spellStart"/>
      <w:r w:rsidRPr="00187650">
        <w:t>Placement</w:t>
      </w:r>
      <w:proofErr w:type="spellEnd"/>
      <w:r w:rsidRPr="00187650">
        <w:t xml:space="preserve"> and </w:t>
      </w:r>
      <w:proofErr w:type="spellStart"/>
      <w:r w:rsidRPr="00187650">
        <w:t>Routing</w:t>
      </w:r>
      <w:proofErr w:type="spellEnd"/>
      <w:r w:rsidRPr="00187650">
        <w:t>.</w:t>
      </w:r>
    </w:p>
    <w:p w14:paraId="7713149D" w14:textId="77777777" w:rsidR="00CC4AA1" w:rsidRPr="00187650" w:rsidRDefault="00CC4AA1" w:rsidP="00CC4AA1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Rendszerfejlesztés</w:t>
      </w:r>
    </w:p>
    <w:p w14:paraId="320AB9EE" w14:textId="77777777" w:rsidR="00CC4AA1" w:rsidRPr="00187650" w:rsidRDefault="00CC4AA1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Szoftverfejlesztési folyamat és elemei; a folyamat különböző modelljei. Projektmenedzsment.</w:t>
      </w:r>
    </w:p>
    <w:p w14:paraId="608BB2B4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Adatbányászat</w:t>
      </w:r>
    </w:p>
    <w:p w14:paraId="6A539C06" w14:textId="77777777" w:rsidR="00203F60" w:rsidRPr="00187650" w:rsidRDefault="00203F60" w:rsidP="00203F60">
      <w:pPr>
        <w:numPr>
          <w:ilvl w:val="0"/>
          <w:numId w:val="13"/>
        </w:numPr>
        <w:jc w:val="both"/>
      </w:pPr>
      <w:bookmarkStart w:id="0" w:name="_Hlk3141756"/>
      <w:proofErr w:type="gramStart"/>
      <w:r w:rsidRPr="00187650">
        <w:t>Adatreprezentáció,-</w:t>
      </w:r>
      <w:proofErr w:type="gramEnd"/>
      <w:r w:rsidRPr="00187650">
        <w:t xml:space="preserve">és transzformáció: mérési skálák, diszkrét és folytonos jellemzők, felügyelt és felügyeletlen </w:t>
      </w:r>
      <w:proofErr w:type="spellStart"/>
      <w:r w:rsidRPr="00187650">
        <w:t>diszkretizáló</w:t>
      </w:r>
      <w:proofErr w:type="spellEnd"/>
      <w:r w:rsidRPr="00187650">
        <w:t xml:space="preserve"> eljárások. Centralizálás, standardizálás, fehérítés. Dimenziócsökkentő eljárások (PCA, SVD, CUR, LDA).</w:t>
      </w:r>
    </w:p>
    <w:p w14:paraId="24957CF4" w14:textId="77777777" w:rsidR="00203F60" w:rsidRPr="00187650" w:rsidRDefault="00203F60" w:rsidP="00203F60">
      <w:pPr>
        <w:numPr>
          <w:ilvl w:val="0"/>
          <w:numId w:val="13"/>
        </w:numPr>
        <w:tabs>
          <w:tab w:val="num" w:pos="720"/>
        </w:tabs>
        <w:jc w:val="both"/>
      </w:pPr>
      <w:r w:rsidRPr="00187650">
        <w:t xml:space="preserve">Hasonlóságok és távolságok (szerkesztési távolság, </w:t>
      </w:r>
      <w:proofErr w:type="spellStart"/>
      <w:r w:rsidRPr="00187650">
        <w:t>Minkowski</w:t>
      </w:r>
      <w:proofErr w:type="spellEnd"/>
      <w:r w:rsidRPr="00187650">
        <w:t xml:space="preserve"> távolság, </w:t>
      </w:r>
      <w:proofErr w:type="spellStart"/>
      <w:r w:rsidRPr="00187650">
        <w:t>Mahalanobis</w:t>
      </w:r>
      <w:proofErr w:type="spellEnd"/>
      <w:r w:rsidRPr="00187650">
        <w:t xml:space="preserve"> távolság, </w:t>
      </w:r>
      <w:proofErr w:type="spellStart"/>
      <w:r w:rsidRPr="00187650">
        <w:t>Jaccard</w:t>
      </w:r>
      <w:proofErr w:type="spellEnd"/>
      <w:r w:rsidRPr="00187650">
        <w:t xml:space="preserve"> hasonlóság/távolság, koszinusz hasonlóság/távolság) és a Lokalitás Érzékeny </w:t>
      </w:r>
      <w:proofErr w:type="spellStart"/>
      <w:r w:rsidRPr="00187650">
        <w:t>Hashelés</w:t>
      </w:r>
      <w:proofErr w:type="spellEnd"/>
      <w:r w:rsidRPr="00187650">
        <w:t xml:space="preserve"> (LSH) elmélete, ÉS/VAGY felerősítések.</w:t>
      </w:r>
    </w:p>
    <w:p w14:paraId="15E77043" w14:textId="77777777" w:rsidR="00203F60" w:rsidRPr="00187650" w:rsidRDefault="00203F60" w:rsidP="00203F60">
      <w:pPr>
        <w:numPr>
          <w:ilvl w:val="0"/>
          <w:numId w:val="13"/>
        </w:numPr>
        <w:tabs>
          <w:tab w:val="num" w:pos="720"/>
        </w:tabs>
        <w:jc w:val="both"/>
      </w:pPr>
      <w:r w:rsidRPr="00187650">
        <w:t>Gyakori minták bányászata, vásárlói kosarak elemzése, asszociációs szabályok hatékony meghatározása. Az A Priori elv és az A priori algoritmus, Park-Chen-</w:t>
      </w:r>
      <w:proofErr w:type="spellStart"/>
      <w:r w:rsidRPr="00187650">
        <w:t>Yu</w:t>
      </w:r>
      <w:proofErr w:type="spellEnd"/>
      <w:r w:rsidRPr="00187650">
        <w:t xml:space="preserve"> algoritmus. FP-fák és az FP </w:t>
      </w:r>
      <w:proofErr w:type="spellStart"/>
      <w:r w:rsidRPr="00187650">
        <w:t>growth</w:t>
      </w:r>
      <w:proofErr w:type="spellEnd"/>
      <w:r w:rsidRPr="00187650">
        <w:t xml:space="preserve"> algoritmus.</w:t>
      </w:r>
    </w:p>
    <w:bookmarkEnd w:id="0"/>
    <w:p w14:paraId="5ABF0A2D" w14:textId="77777777" w:rsidR="007E783F" w:rsidRPr="00E40256" w:rsidRDefault="007E783F" w:rsidP="00CF3746">
      <w:pPr>
        <w:keepNext/>
        <w:spacing w:before="240" w:after="120"/>
        <w:jc w:val="both"/>
        <w:rPr>
          <w:b/>
          <w:i/>
        </w:rPr>
      </w:pPr>
      <w:r w:rsidRPr="00E40256">
        <w:rPr>
          <w:b/>
          <w:i/>
        </w:rPr>
        <w:t>Képfeldolgozás haladóknak (2017/2018/1 félévétől felvett hallgatók esetén)</w:t>
      </w:r>
    </w:p>
    <w:p w14:paraId="6C58F136" w14:textId="78608593" w:rsidR="00A42116" w:rsidRPr="00E40256" w:rsidRDefault="00A42116" w:rsidP="00CF37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E40256">
        <w:t xml:space="preserve">Morfológiai műveletek többszintű képekre; Vázkijelölés: távolság-transzformáció, vékonyítás, </w:t>
      </w:r>
      <w:proofErr w:type="spellStart"/>
      <w:r w:rsidRPr="00E40256">
        <w:t>Voronoi</w:t>
      </w:r>
      <w:proofErr w:type="spellEnd"/>
      <w:r w:rsidRPr="00E40256">
        <w:t>-váz.</w:t>
      </w:r>
    </w:p>
    <w:p w14:paraId="11B7724F" w14:textId="77777777" w:rsidR="00402C08" w:rsidRPr="00187650" w:rsidRDefault="00402C0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Nem konvencionális adatbázisok</w:t>
      </w:r>
    </w:p>
    <w:p w14:paraId="45A8FB5E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Térbeli adatbázisok (tisztán relációs, objektum-relációs és térbeli adatokon alapuló megoldások, térbeli indexek). Időbeli adatbázisok. Az Oracle térbeliséget és időbeliséget támogató megoldásai.</w:t>
      </w:r>
    </w:p>
    <w:p w14:paraId="7EC0279A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Multimédiás adatbázisok. Képi tartalom alapú </w:t>
      </w:r>
      <w:r w:rsidR="003C2684" w:rsidRPr="00187650">
        <w:t xml:space="preserve">keresés. </w:t>
      </w:r>
      <w:proofErr w:type="spellStart"/>
      <w:r w:rsidRPr="00187650">
        <w:t>NoSQL</w:t>
      </w:r>
      <w:proofErr w:type="spellEnd"/>
      <w:r w:rsidRPr="00187650">
        <w:t xml:space="preserve"> adatbázisok (konzisztencia, skálázhatóság, a CAP tétel és következményei, replikáció). Kulcs-érték tárolók, dokumentumtárolók, oszlopcsaládok, gráfadatbázisok. Az Oracle multimédiás és </w:t>
      </w:r>
      <w:proofErr w:type="spellStart"/>
      <w:r w:rsidRPr="00187650">
        <w:t>NoSQL</w:t>
      </w:r>
      <w:proofErr w:type="spellEnd"/>
      <w:r w:rsidRPr="00187650">
        <w:t xml:space="preserve"> lehetőségei.</w:t>
      </w:r>
    </w:p>
    <w:p w14:paraId="2CBC32B6" w14:textId="77777777" w:rsidR="00402C08" w:rsidRPr="00187650" w:rsidRDefault="00402C0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Orvosi képalkotás</w:t>
      </w:r>
    </w:p>
    <w:p w14:paraId="4AF23C05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Röntgen készülék, lineáris gyengülési együttható, CT (</w:t>
      </w:r>
      <w:proofErr w:type="spellStart"/>
      <w:r w:rsidRPr="00187650">
        <w:t>kollimátor</w:t>
      </w:r>
      <w:proofErr w:type="spellEnd"/>
      <w:r w:rsidRPr="00187650">
        <w:t xml:space="preserve">, kompenzátor, referencia detektor), </w:t>
      </w:r>
      <w:proofErr w:type="spellStart"/>
      <w:r w:rsidRPr="00187650">
        <w:t>szinogram</w:t>
      </w:r>
      <w:proofErr w:type="spellEnd"/>
      <w:r w:rsidRPr="00187650">
        <w:t>, rekonstrukció.</w:t>
      </w:r>
    </w:p>
    <w:p w14:paraId="49F565BB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Anger kamera, kalibrációk (PMZ, energia, linearitás, homogenitás). SPECT, korrekciók, metszetek.</w:t>
      </w:r>
    </w:p>
    <w:p w14:paraId="0D33BC3A" w14:textId="77AB41AC" w:rsidR="000641B3" w:rsidRPr="00187650" w:rsidRDefault="00402C08" w:rsidP="00CF37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lastRenderedPageBreak/>
        <w:t>Mágneses rezonancia készülék. Gradiens mágneses mező, metszet kiválasztás, 90-FID, spin-</w:t>
      </w:r>
      <w:proofErr w:type="spellStart"/>
      <w:r w:rsidRPr="00187650">
        <w:t>echo</w:t>
      </w:r>
      <w:proofErr w:type="spellEnd"/>
      <w:r w:rsidRPr="00187650">
        <w:t>, inverziós szekvencia. frekvencia és fázis kódolás. Spin sűrűség, T1, T2 kép.</w:t>
      </w:r>
      <w:r w:rsidR="000641B3" w:rsidRPr="00187650">
        <w:br w:type="page"/>
      </w:r>
    </w:p>
    <w:p w14:paraId="2C80091D" w14:textId="77777777" w:rsidR="00027491" w:rsidRPr="00187650" w:rsidRDefault="00027491" w:rsidP="002E0A6F">
      <w:pPr>
        <w:jc w:val="center"/>
        <w:rPr>
          <w:b/>
          <w:i/>
        </w:rPr>
      </w:pPr>
      <w:r w:rsidRPr="00187650">
        <w:rPr>
          <w:b/>
          <w:i/>
        </w:rPr>
        <w:lastRenderedPageBreak/>
        <w:t>Matematika</w:t>
      </w:r>
    </w:p>
    <w:p w14:paraId="7B3A7B0F" w14:textId="77777777" w:rsidR="00193582" w:rsidRPr="00187650" w:rsidRDefault="00193582" w:rsidP="00193582">
      <w:pPr>
        <w:spacing w:after="120"/>
        <w:jc w:val="both"/>
      </w:pPr>
    </w:p>
    <w:p w14:paraId="0D8FE789" w14:textId="77777777" w:rsidR="00193582" w:rsidRPr="00187650" w:rsidRDefault="00193582" w:rsidP="00193582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Analízis</w:t>
      </w:r>
    </w:p>
    <w:p w14:paraId="247FED62" w14:textId="77777777" w:rsidR="00193582" w:rsidRPr="00187650" w:rsidRDefault="00193582" w:rsidP="00000946">
      <w:pPr>
        <w:pStyle w:val="Listaszerbekezds"/>
        <w:numPr>
          <w:ilvl w:val="0"/>
          <w:numId w:val="13"/>
        </w:numPr>
        <w:spacing w:after="120"/>
        <w:jc w:val="both"/>
      </w:pPr>
      <w:proofErr w:type="spellStart"/>
      <w:r w:rsidRPr="00187650">
        <w:t>Holomorf</w:t>
      </w:r>
      <w:proofErr w:type="spellEnd"/>
      <w:r w:rsidRPr="00187650">
        <w:t xml:space="preserve"> függvények és tulajdonságaik. Cauchy-</w:t>
      </w:r>
      <w:proofErr w:type="spellStart"/>
      <w:r w:rsidRPr="00187650">
        <w:t>Riemann</w:t>
      </w:r>
      <w:proofErr w:type="spellEnd"/>
      <w:r w:rsidRPr="00187650">
        <w:t xml:space="preserve"> egyenletek. Cauchy integráltétele és integrálformulája. Laurent-sor, szingularitások.</w:t>
      </w:r>
    </w:p>
    <w:p w14:paraId="768B69FB" w14:textId="77777777" w:rsidR="00193582" w:rsidRPr="00187650" w:rsidRDefault="00193582" w:rsidP="00000946">
      <w:pPr>
        <w:pStyle w:val="Listaszerbekezds"/>
        <w:numPr>
          <w:ilvl w:val="0"/>
          <w:numId w:val="13"/>
        </w:numPr>
        <w:spacing w:after="120"/>
        <w:jc w:val="both"/>
      </w:pPr>
      <w:r w:rsidRPr="00187650">
        <w:rPr>
          <w:rFonts w:ascii="Symbol" w:hAnsi="Symbol" w:cs="Arial"/>
          <w:sz w:val="26"/>
          <w:szCs w:val="26"/>
        </w:rPr>
        <w:t></w:t>
      </w:r>
      <w:r w:rsidRPr="00187650">
        <w:rPr>
          <w:bCs/>
        </w:rPr>
        <w:t xml:space="preserve">–algebra, mérték, mértéktér. </w:t>
      </w:r>
      <w:proofErr w:type="spellStart"/>
      <w:r w:rsidRPr="00187650">
        <w:rPr>
          <w:bCs/>
        </w:rPr>
        <w:t>Lebesgue-Stieltjes</w:t>
      </w:r>
      <w:proofErr w:type="spellEnd"/>
      <w:r w:rsidRPr="00187650">
        <w:rPr>
          <w:bCs/>
        </w:rPr>
        <w:t xml:space="preserve"> mérték. Egyszerű függvény, mérhető függvény, </w:t>
      </w:r>
      <w:proofErr w:type="spellStart"/>
      <w:r w:rsidRPr="00187650">
        <w:rPr>
          <w:bCs/>
        </w:rPr>
        <w:t>Lebesgue</w:t>
      </w:r>
      <w:proofErr w:type="spellEnd"/>
      <w:r w:rsidRPr="00187650">
        <w:rPr>
          <w:bCs/>
        </w:rPr>
        <w:t xml:space="preserve">-integrál. </w:t>
      </w:r>
      <w:proofErr w:type="spellStart"/>
      <w:r w:rsidRPr="00187650">
        <w:t>Lebesgue</w:t>
      </w:r>
      <w:proofErr w:type="spellEnd"/>
      <w:r w:rsidRPr="00187650">
        <w:t xml:space="preserve">-féle monoton konvergencia tétel, </w:t>
      </w:r>
      <w:proofErr w:type="spellStart"/>
      <w:r w:rsidRPr="00187650">
        <w:t>Lebesgue</w:t>
      </w:r>
      <w:proofErr w:type="spellEnd"/>
      <w:r w:rsidRPr="00187650">
        <w:t>-féle domináns konvergencia tétel</w:t>
      </w:r>
      <w:r w:rsidRPr="00187650">
        <w:rPr>
          <w:bCs/>
        </w:rPr>
        <w:t>.</w:t>
      </w:r>
    </w:p>
    <w:p w14:paraId="5D6DB57F" w14:textId="77777777" w:rsidR="00193582" w:rsidRPr="00187650" w:rsidRDefault="00193582" w:rsidP="00193582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Biostatisztika</w:t>
      </w:r>
      <w:proofErr w:type="spellEnd"/>
    </w:p>
    <w:p w14:paraId="1915FE49" w14:textId="3FE61520" w:rsidR="00193582" w:rsidRPr="00187650" w:rsidRDefault="00193582" w:rsidP="00000946">
      <w:pPr>
        <w:pStyle w:val="Listaszerbekezds"/>
        <w:numPr>
          <w:ilvl w:val="0"/>
          <w:numId w:val="13"/>
        </w:numPr>
        <w:spacing w:after="120"/>
        <w:jc w:val="both"/>
      </w:pPr>
      <w:r w:rsidRPr="00187650">
        <w:t>A statisztikai minta fogalma. Pontbecslések (valószínűség, eloszlásfüggvény, várható érték, variancia becslései). Konfidencia intervallum. Kovariancia, korreláció becslése. A lineáris regresszió és a legkisebb négyzetek módszere.</w:t>
      </w:r>
    </w:p>
    <w:p w14:paraId="65417341" w14:textId="7CE44A7C" w:rsidR="00193582" w:rsidRPr="00187650" w:rsidRDefault="00193582" w:rsidP="00000946">
      <w:pPr>
        <w:pStyle w:val="Listaszerbekezds"/>
        <w:numPr>
          <w:ilvl w:val="0"/>
          <w:numId w:val="13"/>
        </w:numPr>
        <w:spacing w:after="120"/>
        <w:jc w:val="both"/>
      </w:pPr>
      <w:r w:rsidRPr="00187650">
        <w:t>A hipotézisvizsgálat elemei: nullhipotézis és ellenhipotézis, próbastatisztika és kritikus érték, első- és másodfajú hiba. Paraméteres próbák a normális eloszlás várható értékének a tesztelésére. Nemparaméteres próbák (</w:t>
      </w:r>
      <w:proofErr w:type="spellStart"/>
      <w:r w:rsidRPr="00187650">
        <w:t>Khínégyzet</w:t>
      </w:r>
      <w:proofErr w:type="spellEnd"/>
      <w:r w:rsidRPr="00187650">
        <w:t xml:space="preserve">- és </w:t>
      </w:r>
      <w:proofErr w:type="spellStart"/>
      <w:r w:rsidRPr="00187650">
        <w:t>Kolmogorov-Szmirnov</w:t>
      </w:r>
      <w:proofErr w:type="spellEnd"/>
      <w:r w:rsidRPr="00187650">
        <w:t xml:space="preserve"> próbák, korrelációtesztek).</w:t>
      </w:r>
    </w:p>
    <w:p w14:paraId="1AEF821F" w14:textId="77777777" w:rsidR="00193582" w:rsidRPr="00187650" w:rsidRDefault="00193582" w:rsidP="00193582">
      <w:pPr>
        <w:spacing w:after="120"/>
        <w:jc w:val="both"/>
      </w:pPr>
    </w:p>
    <w:p w14:paraId="59446608" w14:textId="77777777" w:rsidR="003D6AC8" w:rsidRPr="00187650" w:rsidRDefault="00513D97" w:rsidP="002E0A6F">
      <w:pPr>
        <w:jc w:val="center"/>
        <w:rPr>
          <w:b/>
          <w:i/>
        </w:rPr>
      </w:pPr>
      <w:r w:rsidRPr="00187650">
        <w:rPr>
          <w:b/>
          <w:i/>
        </w:rPr>
        <w:t>Fizika</w:t>
      </w:r>
    </w:p>
    <w:p w14:paraId="300B1547" w14:textId="77777777" w:rsidR="009E550D" w:rsidRPr="00187650" w:rsidRDefault="009E550D" w:rsidP="002E0A6F">
      <w:pPr>
        <w:spacing w:after="120"/>
        <w:jc w:val="both"/>
      </w:pPr>
    </w:p>
    <w:p w14:paraId="343C0C80" w14:textId="77777777" w:rsidR="003D6AC8" w:rsidRPr="00187650" w:rsidRDefault="003D6AC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Optikai mikroszkópia</w:t>
      </w:r>
    </w:p>
    <w:p w14:paraId="7EB85DD1" w14:textId="77777777" w:rsidR="003D6AC8" w:rsidRPr="00187650" w:rsidRDefault="003D6AC8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Kivilágítási és detektálási módok az optikai mikroszkópiában (Normál, Köhler, </w:t>
      </w:r>
      <w:proofErr w:type="spellStart"/>
      <w:r w:rsidRPr="00187650">
        <w:t>konfokális</w:t>
      </w:r>
      <w:proofErr w:type="spellEnd"/>
      <w:r w:rsidRPr="00187650">
        <w:t xml:space="preserve">, TIRF, EPI) </w:t>
      </w:r>
    </w:p>
    <w:p w14:paraId="01F41A88" w14:textId="77777777" w:rsidR="003D6AC8" w:rsidRPr="00187650" w:rsidRDefault="003D6AC8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Nagyfeloldású optikai mikroszkópia (STED, STORM, SIM)</w:t>
      </w:r>
    </w:p>
    <w:p w14:paraId="0CAA93C6" w14:textId="77777777" w:rsidR="009E550D" w:rsidRPr="00187650" w:rsidRDefault="009E550D" w:rsidP="002E0A6F">
      <w:pPr>
        <w:spacing w:after="120"/>
        <w:jc w:val="both"/>
      </w:pPr>
    </w:p>
    <w:p w14:paraId="06F3C789" w14:textId="77777777" w:rsidR="002176EC" w:rsidRPr="00187650" w:rsidRDefault="002176EC" w:rsidP="002E0A6F">
      <w:pPr>
        <w:jc w:val="center"/>
        <w:rPr>
          <w:b/>
          <w:i/>
        </w:rPr>
      </w:pPr>
      <w:r w:rsidRPr="00187650">
        <w:rPr>
          <w:b/>
          <w:i/>
        </w:rPr>
        <w:t>Kémia</w:t>
      </w:r>
    </w:p>
    <w:p w14:paraId="513A8A82" w14:textId="77777777" w:rsidR="002176EC" w:rsidRPr="00187650" w:rsidRDefault="002176EC" w:rsidP="002E0A6F">
      <w:pPr>
        <w:spacing w:after="120"/>
        <w:jc w:val="both"/>
      </w:pPr>
    </w:p>
    <w:p w14:paraId="4DE06D34" w14:textId="77777777" w:rsidR="00D04E38" w:rsidRPr="00187650" w:rsidRDefault="00D04E38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Bioszerves</w:t>
      </w:r>
      <w:proofErr w:type="spellEnd"/>
      <w:r w:rsidRPr="00187650">
        <w:rPr>
          <w:b/>
          <w:i/>
        </w:rPr>
        <w:t xml:space="preserve"> kémia</w:t>
      </w:r>
    </w:p>
    <w:p w14:paraId="35CA3DE1" w14:textId="77777777" w:rsidR="002176EC" w:rsidRPr="00187650" w:rsidRDefault="002176EC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Szénhidrátok szerkezete és kémiai tulajdonságaik.</w:t>
      </w:r>
    </w:p>
    <w:p w14:paraId="2AB4C059" w14:textId="77777777" w:rsidR="002176EC" w:rsidRPr="00187650" w:rsidRDefault="002176EC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proofErr w:type="spellStart"/>
      <w:r w:rsidRPr="00187650">
        <w:t>Peptidek</w:t>
      </w:r>
      <w:proofErr w:type="spellEnd"/>
      <w:r w:rsidRPr="00187650">
        <w:t xml:space="preserve"> és fehérjék szintézise és szerkezeti sajátságaik.</w:t>
      </w:r>
    </w:p>
    <w:p w14:paraId="7343E77A" w14:textId="77777777" w:rsidR="00D04E38" w:rsidRPr="00187650" w:rsidRDefault="00D04E38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Szupramolekuláris</w:t>
      </w:r>
      <w:proofErr w:type="spellEnd"/>
      <w:r w:rsidRPr="00187650">
        <w:rPr>
          <w:b/>
          <w:i/>
        </w:rPr>
        <w:t xml:space="preserve"> és önszervező rendszerek</w:t>
      </w:r>
    </w:p>
    <w:p w14:paraId="0F1428A9" w14:textId="77777777" w:rsidR="002176EC" w:rsidRPr="00187650" w:rsidRDefault="002176EC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A molekuláris felismerés, a </w:t>
      </w:r>
      <w:proofErr w:type="spellStart"/>
      <w:r w:rsidRPr="00187650">
        <w:t>szupramolekuláris</w:t>
      </w:r>
      <w:proofErr w:type="spellEnd"/>
      <w:r w:rsidRPr="00187650">
        <w:t>/önszerveződő rendszerek alapjai (meghatározó kölcsönhatások és tényezők, feltételek és jellemzők, kémiai/biológiai példák).</w:t>
      </w:r>
    </w:p>
    <w:p w14:paraId="1368A042" w14:textId="77777777" w:rsidR="002176EC" w:rsidRPr="00187650" w:rsidRDefault="002176EC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A </w:t>
      </w:r>
      <w:proofErr w:type="spellStart"/>
      <w:r w:rsidRPr="00187650">
        <w:t>szupramolekuláris</w:t>
      </w:r>
      <w:proofErr w:type="spellEnd"/>
      <w:r w:rsidRPr="00187650">
        <w:t xml:space="preserve"> rendszerek alkalmazása (katalízis, molekuláris eszközök, gépek).</w:t>
      </w:r>
    </w:p>
    <w:p w14:paraId="2FD8B4AE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Analitikai szenzorok</w:t>
      </w:r>
    </w:p>
    <w:p w14:paraId="27985399" w14:textId="77777777" w:rsidR="00F456B7" w:rsidRPr="00187650" w:rsidRDefault="00F456B7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Elektrokémiai szenzorok jellemzői és alkalmazási lehetőségei.</w:t>
      </w:r>
    </w:p>
    <w:p w14:paraId="19CBED00" w14:textId="77777777" w:rsidR="00F456B7" w:rsidRPr="00187650" w:rsidRDefault="00F456B7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proofErr w:type="spellStart"/>
      <w:r w:rsidRPr="00187650">
        <w:t>Optokémiai</w:t>
      </w:r>
      <w:proofErr w:type="spellEnd"/>
      <w:r w:rsidRPr="00187650">
        <w:t xml:space="preserve"> szenzorok jellemzői és alkalmazási lehetőségei.</w:t>
      </w:r>
    </w:p>
    <w:p w14:paraId="3F4FD95D" w14:textId="77777777" w:rsidR="00D04E38" w:rsidRPr="00187650" w:rsidRDefault="00D04E3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lastRenderedPageBreak/>
        <w:t>Számítógépes biokémia</w:t>
      </w:r>
    </w:p>
    <w:p w14:paraId="7DC74FDA" w14:textId="77777777" w:rsidR="002176EC" w:rsidRPr="00187650" w:rsidRDefault="002176EC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A kvázi-klasszikus reakciódinamika alapjai (kezdeti feltételek, reakcióvalószínűség és hatáskeresztmetszet).</w:t>
      </w:r>
    </w:p>
    <w:p w14:paraId="624F6CEF" w14:textId="77777777" w:rsidR="002176EC" w:rsidRPr="00187650" w:rsidRDefault="002176EC" w:rsidP="002E0A6F">
      <w:pPr>
        <w:spacing w:after="120"/>
        <w:jc w:val="both"/>
      </w:pPr>
    </w:p>
    <w:p w14:paraId="1C12E7B7" w14:textId="77777777" w:rsidR="002176EC" w:rsidRPr="00187650" w:rsidRDefault="00162786" w:rsidP="002E0A6F">
      <w:pPr>
        <w:jc w:val="center"/>
        <w:rPr>
          <w:b/>
          <w:i/>
        </w:rPr>
      </w:pPr>
      <w:r w:rsidRPr="00187650">
        <w:rPr>
          <w:b/>
          <w:i/>
        </w:rPr>
        <w:t>Biológia</w:t>
      </w:r>
    </w:p>
    <w:p w14:paraId="1C50179F" w14:textId="77777777" w:rsidR="00162786" w:rsidRPr="00187650" w:rsidRDefault="00162786" w:rsidP="002E0A6F">
      <w:pPr>
        <w:spacing w:after="120"/>
        <w:jc w:val="both"/>
      </w:pPr>
    </w:p>
    <w:p w14:paraId="47A6F4D2" w14:textId="77777777" w:rsidR="00F456B7" w:rsidRPr="00187650" w:rsidRDefault="00323563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Rekombináns</w:t>
      </w:r>
      <w:proofErr w:type="spellEnd"/>
      <w:r w:rsidRPr="00187650">
        <w:rPr>
          <w:b/>
          <w:i/>
        </w:rPr>
        <w:t xml:space="preserve"> DNS technikák</w:t>
      </w:r>
    </w:p>
    <w:p w14:paraId="6B0AEFC2" w14:textId="77777777" w:rsidR="00162786" w:rsidRPr="00187650" w:rsidRDefault="00162786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DNS szerkezet és funkció vizsgálati módszerek áttekintése: DNS </w:t>
      </w:r>
      <w:proofErr w:type="spellStart"/>
      <w:r w:rsidRPr="00187650">
        <w:t>fragmentálás</w:t>
      </w:r>
      <w:proofErr w:type="spellEnd"/>
      <w:r w:rsidRPr="00187650">
        <w:t xml:space="preserve"> és méretmeghatározás, </w:t>
      </w:r>
      <w:proofErr w:type="spellStart"/>
      <w:r w:rsidRPr="00187650">
        <w:t>nukleotid</w:t>
      </w:r>
      <w:proofErr w:type="spellEnd"/>
      <w:r w:rsidRPr="00187650">
        <w:t xml:space="preserve"> szekvencia meghatározás klasszikus és új generációs módszerek, génműködés vizsgálat riporter gének alkalmazásával.</w:t>
      </w:r>
    </w:p>
    <w:p w14:paraId="1D9CCCA8" w14:textId="77777777" w:rsidR="00162786" w:rsidRPr="00187650" w:rsidRDefault="00162786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Genetikailag módosított élőlények előállításának módszerei: génkönyvtárak létrehozása baktériumokban, vektorok típusai, genom és </w:t>
      </w:r>
      <w:proofErr w:type="spellStart"/>
      <w:r w:rsidRPr="00187650">
        <w:t>cDNS</w:t>
      </w:r>
      <w:proofErr w:type="spellEnd"/>
      <w:r w:rsidRPr="00187650">
        <w:t xml:space="preserve"> klónok előállítása. </w:t>
      </w:r>
      <w:proofErr w:type="spellStart"/>
      <w:r w:rsidRPr="00187650">
        <w:t>Magasabbrendűek</w:t>
      </w:r>
      <w:proofErr w:type="spellEnd"/>
      <w:r w:rsidRPr="00187650">
        <w:t xml:space="preserve"> genetikai módosításának lehetőségei, genom szerkesztés.</w:t>
      </w:r>
    </w:p>
    <w:p w14:paraId="23640128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Intercelluláris</w:t>
      </w:r>
      <w:proofErr w:type="spellEnd"/>
      <w:r w:rsidRPr="00187650">
        <w:rPr>
          <w:b/>
          <w:i/>
        </w:rPr>
        <w:t xml:space="preserve"> </w:t>
      </w:r>
      <w:proofErr w:type="spellStart"/>
      <w:r w:rsidRPr="00187650">
        <w:rPr>
          <w:b/>
          <w:i/>
        </w:rPr>
        <w:t>szignalizáció</w:t>
      </w:r>
      <w:proofErr w:type="spellEnd"/>
    </w:p>
    <w:p w14:paraId="4E8D10E1" w14:textId="160C9CE9" w:rsidR="00162786" w:rsidRPr="00187650" w:rsidRDefault="00A4083A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A sejtek jelátviteli folyamatainak általános jellemzői: szignálok, receptorok, </w:t>
      </w:r>
      <w:proofErr w:type="spellStart"/>
      <w:r w:rsidRPr="00187650">
        <w:t>adaptor</w:t>
      </w:r>
      <w:proofErr w:type="spellEnd"/>
      <w:r w:rsidRPr="00187650">
        <w:t xml:space="preserve"> fehérjék, másodlagos </w:t>
      </w:r>
      <w:proofErr w:type="spellStart"/>
      <w:r w:rsidRPr="00187650">
        <w:t>jelátvivők</w:t>
      </w:r>
      <w:proofErr w:type="spellEnd"/>
      <w:r w:rsidRPr="00187650">
        <w:t xml:space="preserve">, </w:t>
      </w:r>
      <w:proofErr w:type="spellStart"/>
      <w:r w:rsidRPr="00187650">
        <w:t>foszforilációs</w:t>
      </w:r>
      <w:proofErr w:type="spellEnd"/>
      <w:r w:rsidRPr="00187650">
        <w:t xml:space="preserve"> kaszkádok, jel </w:t>
      </w:r>
      <w:proofErr w:type="spellStart"/>
      <w:r w:rsidRPr="00187650">
        <w:t>amplifikáció</w:t>
      </w:r>
      <w:proofErr w:type="spellEnd"/>
      <w:r w:rsidRPr="00187650">
        <w:t xml:space="preserve">, szignál integráció. A főbb </w:t>
      </w:r>
      <w:proofErr w:type="spellStart"/>
      <w:r w:rsidRPr="00187650">
        <w:t>intracelluláris</w:t>
      </w:r>
      <w:proofErr w:type="spellEnd"/>
      <w:r w:rsidRPr="00187650">
        <w:t xml:space="preserve"> jelutak felsorolása és rövid jellemzése. A G protein-kapcsolt receptorral aktivált jelutak (</w:t>
      </w:r>
      <w:proofErr w:type="spellStart"/>
      <w:r w:rsidRPr="00187650">
        <w:t>cAMP</w:t>
      </w:r>
      <w:proofErr w:type="spellEnd"/>
      <w:r w:rsidRPr="00187650">
        <w:t>, IP3/DAG) részletes ismertetése.</w:t>
      </w:r>
    </w:p>
    <w:p w14:paraId="14CD6E2B" w14:textId="5EE5C0DD" w:rsidR="00162786" w:rsidRPr="00187650" w:rsidRDefault="00A4083A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Enzimkapcsolt receptorokkal (pl. receptor </w:t>
      </w:r>
      <w:proofErr w:type="spellStart"/>
      <w:r w:rsidRPr="00187650">
        <w:t>tirozin</w:t>
      </w:r>
      <w:proofErr w:type="spellEnd"/>
      <w:r w:rsidRPr="00187650">
        <w:t xml:space="preserve"> </w:t>
      </w:r>
      <w:proofErr w:type="spellStart"/>
      <w:r w:rsidRPr="00187650">
        <w:t>kináz</w:t>
      </w:r>
      <w:proofErr w:type="spellEnd"/>
      <w:r w:rsidRPr="00187650">
        <w:t xml:space="preserve">) aktivált jelutak jellemzése. </w:t>
      </w:r>
      <w:proofErr w:type="spellStart"/>
      <w:r w:rsidRPr="00187650">
        <w:t>Proteolízissel</w:t>
      </w:r>
      <w:proofErr w:type="spellEnd"/>
      <w:r w:rsidRPr="00187650">
        <w:t xml:space="preserve"> kapcsolt jelutak (</w:t>
      </w:r>
      <w:proofErr w:type="spellStart"/>
      <w:r w:rsidRPr="00187650">
        <w:t>Wnt</w:t>
      </w:r>
      <w:proofErr w:type="spellEnd"/>
      <w:r w:rsidRPr="00187650">
        <w:t xml:space="preserve">, </w:t>
      </w:r>
      <w:proofErr w:type="spellStart"/>
      <w:r w:rsidRPr="00187650">
        <w:t>Hh</w:t>
      </w:r>
      <w:proofErr w:type="spellEnd"/>
      <w:r w:rsidRPr="00187650">
        <w:t xml:space="preserve">, </w:t>
      </w:r>
      <w:proofErr w:type="spellStart"/>
      <w:r w:rsidRPr="00187650">
        <w:t>NFkappaB</w:t>
      </w:r>
      <w:proofErr w:type="spellEnd"/>
      <w:r w:rsidRPr="00187650">
        <w:t xml:space="preserve">, </w:t>
      </w:r>
      <w:proofErr w:type="spellStart"/>
      <w:r w:rsidRPr="00187650">
        <w:t>Notch</w:t>
      </w:r>
      <w:proofErr w:type="spellEnd"/>
      <w:r w:rsidRPr="00187650">
        <w:t>/Delta) általános jellemzése.</w:t>
      </w:r>
    </w:p>
    <w:p w14:paraId="280826B6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Bioinformatika</w:t>
      </w:r>
      <w:proofErr w:type="spellEnd"/>
    </w:p>
    <w:p w14:paraId="5BC1EBB5" w14:textId="77777777" w:rsidR="00F456B7" w:rsidRPr="00187650" w:rsidRDefault="00F456B7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Makromolekulák primer szerkezetének összehasonlítása </w:t>
      </w:r>
      <w:proofErr w:type="spellStart"/>
      <w:r w:rsidRPr="00187650">
        <w:t>bioinformatikai</w:t>
      </w:r>
      <w:proofErr w:type="spellEnd"/>
      <w:r w:rsidRPr="00187650">
        <w:t xml:space="preserve"> módszerekkel. Többszörös illesztés (</w:t>
      </w:r>
      <w:proofErr w:type="spellStart"/>
      <w:r w:rsidRPr="00187650">
        <w:t>Multiple</w:t>
      </w:r>
      <w:proofErr w:type="spellEnd"/>
      <w:r w:rsidRPr="00187650">
        <w:t xml:space="preserve"> </w:t>
      </w:r>
      <w:proofErr w:type="spellStart"/>
      <w:r w:rsidRPr="00187650">
        <w:t>Alignment</w:t>
      </w:r>
      <w:proofErr w:type="spellEnd"/>
      <w:r w:rsidRPr="00187650">
        <w:t>). Illesztési módszerek és összehasonlításuk. Illesztésekből levonható következtetések</w:t>
      </w:r>
    </w:p>
    <w:p w14:paraId="397C658E" w14:textId="77777777" w:rsidR="00F456B7" w:rsidRPr="00187650" w:rsidRDefault="00F456B7" w:rsidP="000009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Fehérje szerkezetek összehasonlítása </w:t>
      </w:r>
      <w:proofErr w:type="spellStart"/>
      <w:r w:rsidRPr="00187650">
        <w:t>illlesztéses</w:t>
      </w:r>
      <w:proofErr w:type="spellEnd"/>
      <w:r w:rsidRPr="00187650">
        <w:t xml:space="preserve"> módszerekkel. Fehérjék funkciójának szekvencia-alapú előrejelzése</w:t>
      </w:r>
    </w:p>
    <w:p w14:paraId="7450DA84" w14:textId="77777777" w:rsidR="00F456B7" w:rsidRPr="00187650" w:rsidRDefault="00F456B7" w:rsidP="002E0A6F">
      <w:pPr>
        <w:spacing w:after="120"/>
        <w:jc w:val="both"/>
      </w:pPr>
    </w:p>
    <w:p w14:paraId="5CDBE34D" w14:textId="77777777" w:rsidR="00F456B7" w:rsidRPr="00187650" w:rsidRDefault="00F456B7" w:rsidP="002E0A6F">
      <w:pPr>
        <w:spacing w:after="120"/>
        <w:jc w:val="both"/>
      </w:pPr>
    </w:p>
    <w:sectPr w:rsidR="00F456B7" w:rsidRPr="001876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3CA9" w14:textId="77777777" w:rsidR="0052272E" w:rsidRDefault="0052272E" w:rsidP="003C4E71">
      <w:r>
        <w:separator/>
      </w:r>
    </w:p>
  </w:endnote>
  <w:endnote w:type="continuationSeparator" w:id="0">
    <w:p w14:paraId="01AE2255" w14:textId="77777777" w:rsidR="0052272E" w:rsidRDefault="0052272E" w:rsidP="003C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766947"/>
      <w:docPartObj>
        <w:docPartGallery w:val="Page Numbers (Bottom of Page)"/>
        <w:docPartUnique/>
      </w:docPartObj>
    </w:sdtPr>
    <w:sdtContent>
      <w:p w14:paraId="2D725DAA" w14:textId="3B4A2F96" w:rsidR="003C4E71" w:rsidRDefault="003C4E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50">
          <w:rPr>
            <w:noProof/>
          </w:rPr>
          <w:t>4</w:t>
        </w:r>
        <w:r>
          <w:fldChar w:fldCharType="end"/>
        </w:r>
      </w:p>
    </w:sdtContent>
  </w:sdt>
  <w:p w14:paraId="17801ACD" w14:textId="77777777" w:rsidR="003C4E71" w:rsidRDefault="003C4E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CAC9" w14:textId="77777777" w:rsidR="0052272E" w:rsidRDefault="0052272E" w:rsidP="003C4E71">
      <w:r>
        <w:separator/>
      </w:r>
    </w:p>
  </w:footnote>
  <w:footnote w:type="continuationSeparator" w:id="0">
    <w:p w14:paraId="0B87EA87" w14:textId="77777777" w:rsidR="0052272E" w:rsidRDefault="0052272E" w:rsidP="003C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i/>
        <w:color w:val="7F7F7F" w:themeColor="text1" w:themeTint="80"/>
      </w:rPr>
      <w:alias w:val="Cím"/>
      <w:tag w:val=""/>
      <w:id w:val="1116400235"/>
      <w:placeholder>
        <w:docPart w:val="E3A0313FAAF74469B8D7301E7AC879E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30D97D9" w14:textId="77777777" w:rsidR="00E30F40" w:rsidRPr="00E30F40" w:rsidRDefault="00E30F40">
        <w:pPr>
          <w:pStyle w:val="lfej"/>
          <w:jc w:val="right"/>
          <w:rPr>
            <w:rFonts w:ascii="Arial Narrow" w:hAnsi="Arial Narrow"/>
            <w:i/>
            <w:color w:val="7F7F7F" w:themeColor="text1" w:themeTint="80"/>
          </w:rPr>
        </w:pPr>
        <w:proofErr w:type="spellStart"/>
        <w:r w:rsidRPr="00E30F40">
          <w:rPr>
            <w:rFonts w:ascii="Arial Narrow" w:hAnsi="Arial Narrow"/>
            <w:i/>
            <w:color w:val="7F7F7F" w:themeColor="text1" w:themeTint="80"/>
          </w:rPr>
          <w:t>Info-Bionika</w:t>
        </w:r>
        <w:proofErr w:type="spellEnd"/>
        <w:r w:rsidRPr="00E30F40">
          <w:rPr>
            <w:rFonts w:ascii="Arial Narrow" w:hAnsi="Arial Narrow"/>
            <w:i/>
            <w:color w:val="7F7F7F" w:themeColor="text1" w:themeTint="80"/>
          </w:rPr>
          <w:t xml:space="preserve"> Mérnök MSc</w:t>
        </w:r>
      </w:p>
    </w:sdtContent>
  </w:sdt>
  <w:p w14:paraId="1B874AFB" w14:textId="77777777" w:rsidR="00E30F40" w:rsidRDefault="00E30F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C2E"/>
    <w:multiLevelType w:val="hybridMultilevel"/>
    <w:tmpl w:val="23F6F2BE"/>
    <w:lvl w:ilvl="0" w:tplc="E502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1906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74110"/>
    <w:multiLevelType w:val="hybridMultilevel"/>
    <w:tmpl w:val="8C32D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0D"/>
    <w:multiLevelType w:val="hybridMultilevel"/>
    <w:tmpl w:val="961077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1F3"/>
    <w:multiLevelType w:val="hybridMultilevel"/>
    <w:tmpl w:val="EC261EF6"/>
    <w:lvl w:ilvl="0" w:tplc="0700D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1651"/>
    <w:multiLevelType w:val="hybridMultilevel"/>
    <w:tmpl w:val="CEE6F0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94DEF"/>
    <w:multiLevelType w:val="hybridMultilevel"/>
    <w:tmpl w:val="1FA8C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07780"/>
    <w:multiLevelType w:val="multilevel"/>
    <w:tmpl w:val="82BC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D283D"/>
    <w:multiLevelType w:val="hybridMultilevel"/>
    <w:tmpl w:val="C6541E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77A4B"/>
    <w:multiLevelType w:val="hybridMultilevel"/>
    <w:tmpl w:val="7C4626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0A9A2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84D93"/>
    <w:multiLevelType w:val="hybridMultilevel"/>
    <w:tmpl w:val="76FAC77C"/>
    <w:lvl w:ilvl="0" w:tplc="699CF7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84953"/>
    <w:multiLevelType w:val="hybridMultilevel"/>
    <w:tmpl w:val="7F206DE8"/>
    <w:lvl w:ilvl="0" w:tplc="368AB4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34B8"/>
    <w:multiLevelType w:val="hybridMultilevel"/>
    <w:tmpl w:val="841826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03A56"/>
    <w:multiLevelType w:val="hybridMultilevel"/>
    <w:tmpl w:val="891A13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D8B"/>
    <w:multiLevelType w:val="hybridMultilevel"/>
    <w:tmpl w:val="F746C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8EC"/>
    <w:multiLevelType w:val="hybridMultilevel"/>
    <w:tmpl w:val="3AC028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2622"/>
    <w:multiLevelType w:val="hybridMultilevel"/>
    <w:tmpl w:val="2E92E7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1993"/>
    <w:multiLevelType w:val="hybridMultilevel"/>
    <w:tmpl w:val="B39A93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714E7"/>
    <w:multiLevelType w:val="hybridMultilevel"/>
    <w:tmpl w:val="9174B3AC"/>
    <w:lvl w:ilvl="0" w:tplc="9DB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00E"/>
    <w:multiLevelType w:val="hybridMultilevel"/>
    <w:tmpl w:val="5A7A71D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E34317"/>
    <w:multiLevelType w:val="hybridMultilevel"/>
    <w:tmpl w:val="B566A0CC"/>
    <w:lvl w:ilvl="0" w:tplc="DB08470A">
      <w:start w:val="1"/>
      <w:numFmt w:val="decimal"/>
      <w:lvlText w:val="%1."/>
      <w:lvlJc w:val="left"/>
      <w:pPr>
        <w:ind w:left="1125" w:hanging="765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C1855"/>
    <w:multiLevelType w:val="hybridMultilevel"/>
    <w:tmpl w:val="5C3E4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03375">
    <w:abstractNumId w:val="8"/>
  </w:num>
  <w:num w:numId="2" w16cid:durableId="1041827350">
    <w:abstractNumId w:val="12"/>
  </w:num>
  <w:num w:numId="3" w16cid:durableId="1972402126">
    <w:abstractNumId w:val="11"/>
  </w:num>
  <w:num w:numId="4" w16cid:durableId="1939098530">
    <w:abstractNumId w:val="0"/>
  </w:num>
  <w:num w:numId="5" w16cid:durableId="1594822170">
    <w:abstractNumId w:val="5"/>
  </w:num>
  <w:num w:numId="6" w16cid:durableId="1996180407">
    <w:abstractNumId w:val="4"/>
  </w:num>
  <w:num w:numId="7" w16cid:durableId="321547708">
    <w:abstractNumId w:val="15"/>
  </w:num>
  <w:num w:numId="8" w16cid:durableId="867571153">
    <w:abstractNumId w:val="7"/>
  </w:num>
  <w:num w:numId="9" w16cid:durableId="647174390">
    <w:abstractNumId w:val="2"/>
  </w:num>
  <w:num w:numId="10" w16cid:durableId="1133330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292744">
    <w:abstractNumId w:val="9"/>
  </w:num>
  <w:num w:numId="12" w16cid:durableId="1099762414">
    <w:abstractNumId w:val="17"/>
  </w:num>
  <w:num w:numId="13" w16cid:durableId="457919734">
    <w:abstractNumId w:val="14"/>
  </w:num>
  <w:num w:numId="14" w16cid:durableId="1337347346">
    <w:abstractNumId w:val="20"/>
  </w:num>
  <w:num w:numId="15" w16cid:durableId="1352680325">
    <w:abstractNumId w:val="13"/>
  </w:num>
  <w:num w:numId="16" w16cid:durableId="2106877391">
    <w:abstractNumId w:val="1"/>
  </w:num>
  <w:num w:numId="17" w16cid:durableId="385421931">
    <w:abstractNumId w:val="19"/>
  </w:num>
  <w:num w:numId="18" w16cid:durableId="1628848672">
    <w:abstractNumId w:val="10"/>
  </w:num>
  <w:num w:numId="19" w16cid:durableId="25100688">
    <w:abstractNumId w:val="18"/>
  </w:num>
  <w:num w:numId="20" w16cid:durableId="599603004">
    <w:abstractNumId w:val="16"/>
  </w:num>
  <w:num w:numId="21" w16cid:durableId="1911036258">
    <w:abstractNumId w:val="3"/>
  </w:num>
  <w:num w:numId="22" w16cid:durableId="3198166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25"/>
    <w:rsid w:val="00000946"/>
    <w:rsid w:val="00027491"/>
    <w:rsid w:val="000444CE"/>
    <w:rsid w:val="000641B3"/>
    <w:rsid w:val="000738A3"/>
    <w:rsid w:val="00075C55"/>
    <w:rsid w:val="00076D05"/>
    <w:rsid w:val="000B1B45"/>
    <w:rsid w:val="00135CB6"/>
    <w:rsid w:val="001461D8"/>
    <w:rsid w:val="0015021A"/>
    <w:rsid w:val="0015084D"/>
    <w:rsid w:val="00162786"/>
    <w:rsid w:val="00165119"/>
    <w:rsid w:val="00182E3B"/>
    <w:rsid w:val="00187650"/>
    <w:rsid w:val="00190D36"/>
    <w:rsid w:val="00193582"/>
    <w:rsid w:val="001957E2"/>
    <w:rsid w:val="001A060E"/>
    <w:rsid w:val="00203F60"/>
    <w:rsid w:val="002176EC"/>
    <w:rsid w:val="00236CE8"/>
    <w:rsid w:val="00251621"/>
    <w:rsid w:val="002708AF"/>
    <w:rsid w:val="002A001C"/>
    <w:rsid w:val="002C4121"/>
    <w:rsid w:val="002E0A6F"/>
    <w:rsid w:val="002F6672"/>
    <w:rsid w:val="00315B0C"/>
    <w:rsid w:val="00323563"/>
    <w:rsid w:val="00327B3F"/>
    <w:rsid w:val="003330AE"/>
    <w:rsid w:val="00342D65"/>
    <w:rsid w:val="003759D4"/>
    <w:rsid w:val="00385981"/>
    <w:rsid w:val="00394A2B"/>
    <w:rsid w:val="003C2684"/>
    <w:rsid w:val="003C4E71"/>
    <w:rsid w:val="003D5C6E"/>
    <w:rsid w:val="003D6AC8"/>
    <w:rsid w:val="00402C08"/>
    <w:rsid w:val="004213AB"/>
    <w:rsid w:val="004218F1"/>
    <w:rsid w:val="00462452"/>
    <w:rsid w:val="00471C9B"/>
    <w:rsid w:val="004A7448"/>
    <w:rsid w:val="004C4E66"/>
    <w:rsid w:val="00501857"/>
    <w:rsid w:val="00513D97"/>
    <w:rsid w:val="0052272E"/>
    <w:rsid w:val="00526CA9"/>
    <w:rsid w:val="0055243A"/>
    <w:rsid w:val="005632A1"/>
    <w:rsid w:val="00594B71"/>
    <w:rsid w:val="005A212E"/>
    <w:rsid w:val="005B572B"/>
    <w:rsid w:val="005C15AA"/>
    <w:rsid w:val="005D04D5"/>
    <w:rsid w:val="005E4ACF"/>
    <w:rsid w:val="00600455"/>
    <w:rsid w:val="0061478F"/>
    <w:rsid w:val="00626884"/>
    <w:rsid w:val="00641723"/>
    <w:rsid w:val="0068207F"/>
    <w:rsid w:val="006A7B55"/>
    <w:rsid w:val="006C7CED"/>
    <w:rsid w:val="006E52F5"/>
    <w:rsid w:val="0072457B"/>
    <w:rsid w:val="00726D4B"/>
    <w:rsid w:val="00726D9B"/>
    <w:rsid w:val="00751A89"/>
    <w:rsid w:val="007569B7"/>
    <w:rsid w:val="00784DA6"/>
    <w:rsid w:val="007925E7"/>
    <w:rsid w:val="007A0CAD"/>
    <w:rsid w:val="007A1EBB"/>
    <w:rsid w:val="007A4839"/>
    <w:rsid w:val="007C0B48"/>
    <w:rsid w:val="007D143B"/>
    <w:rsid w:val="007E783F"/>
    <w:rsid w:val="00802172"/>
    <w:rsid w:val="008131F9"/>
    <w:rsid w:val="00822D1B"/>
    <w:rsid w:val="0083324D"/>
    <w:rsid w:val="00883728"/>
    <w:rsid w:val="008C13C2"/>
    <w:rsid w:val="008D34E8"/>
    <w:rsid w:val="0090661A"/>
    <w:rsid w:val="00922C56"/>
    <w:rsid w:val="009443AE"/>
    <w:rsid w:val="00950EF1"/>
    <w:rsid w:val="0096002F"/>
    <w:rsid w:val="009716A6"/>
    <w:rsid w:val="00973BD9"/>
    <w:rsid w:val="009D5EED"/>
    <w:rsid w:val="009D72A8"/>
    <w:rsid w:val="009E550D"/>
    <w:rsid w:val="00A1540B"/>
    <w:rsid w:val="00A4083A"/>
    <w:rsid w:val="00A42116"/>
    <w:rsid w:val="00A47504"/>
    <w:rsid w:val="00A56E02"/>
    <w:rsid w:val="00A62954"/>
    <w:rsid w:val="00A76080"/>
    <w:rsid w:val="00A83334"/>
    <w:rsid w:val="00A961FA"/>
    <w:rsid w:val="00AC072E"/>
    <w:rsid w:val="00BA634F"/>
    <w:rsid w:val="00BB5E5A"/>
    <w:rsid w:val="00BB7C17"/>
    <w:rsid w:val="00BE1DE1"/>
    <w:rsid w:val="00C057F2"/>
    <w:rsid w:val="00C06EDB"/>
    <w:rsid w:val="00C6201A"/>
    <w:rsid w:val="00C63EB3"/>
    <w:rsid w:val="00C6601C"/>
    <w:rsid w:val="00C75381"/>
    <w:rsid w:val="00C821AD"/>
    <w:rsid w:val="00CC4AA1"/>
    <w:rsid w:val="00CD5600"/>
    <w:rsid w:val="00CD73B5"/>
    <w:rsid w:val="00CE1125"/>
    <w:rsid w:val="00CE127E"/>
    <w:rsid w:val="00CF3746"/>
    <w:rsid w:val="00D04E38"/>
    <w:rsid w:val="00D45199"/>
    <w:rsid w:val="00D54235"/>
    <w:rsid w:val="00D9119E"/>
    <w:rsid w:val="00DA711D"/>
    <w:rsid w:val="00DB48C0"/>
    <w:rsid w:val="00E10B9D"/>
    <w:rsid w:val="00E16B24"/>
    <w:rsid w:val="00E2178A"/>
    <w:rsid w:val="00E245ED"/>
    <w:rsid w:val="00E30F40"/>
    <w:rsid w:val="00E40256"/>
    <w:rsid w:val="00E51942"/>
    <w:rsid w:val="00E6037D"/>
    <w:rsid w:val="00E725A8"/>
    <w:rsid w:val="00EA1BDE"/>
    <w:rsid w:val="00EC1E0B"/>
    <w:rsid w:val="00EC4BF0"/>
    <w:rsid w:val="00F0255D"/>
    <w:rsid w:val="00F0610E"/>
    <w:rsid w:val="00F067DC"/>
    <w:rsid w:val="00F456B7"/>
    <w:rsid w:val="00F86EF2"/>
    <w:rsid w:val="00FA2485"/>
    <w:rsid w:val="00FB4C00"/>
    <w:rsid w:val="00FE2521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05C0"/>
  <w15:chartTrackingRefBased/>
  <w15:docId w15:val="{600D0685-79F1-43DB-BCDC-2033138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538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753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41723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rsid w:val="00501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501857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3330AE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06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067DC"/>
    <w:rPr>
      <w:rFonts w:ascii="Calibri" w:hAnsi="Calibri"/>
      <w:szCs w:val="21"/>
    </w:rPr>
  </w:style>
  <w:style w:type="paragraph" w:styleId="Nincstrkz">
    <w:name w:val="No Spacing"/>
    <w:uiPriority w:val="1"/>
    <w:qFormat/>
    <w:rsid w:val="00E5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C4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4E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4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4E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6E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6EDB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F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603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037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037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03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037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A0313FAAF74469B8D7301E7AC879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96F13-4945-4A75-9552-8BD622111FFE}"/>
      </w:docPartPr>
      <w:docPartBody>
        <w:p w:rsidR="00A657ED" w:rsidRDefault="0088758C" w:rsidP="0088758C">
          <w:pPr>
            <w:pStyle w:val="E3A0313FAAF74469B8D7301E7AC879E4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8C"/>
    <w:rsid w:val="000E684B"/>
    <w:rsid w:val="003D774B"/>
    <w:rsid w:val="004D3763"/>
    <w:rsid w:val="005632A1"/>
    <w:rsid w:val="005D3494"/>
    <w:rsid w:val="00636ECC"/>
    <w:rsid w:val="0074777E"/>
    <w:rsid w:val="007E6A3D"/>
    <w:rsid w:val="008249D2"/>
    <w:rsid w:val="00875CF1"/>
    <w:rsid w:val="0088758C"/>
    <w:rsid w:val="00A657ED"/>
    <w:rsid w:val="00A74059"/>
    <w:rsid w:val="00B15F5E"/>
    <w:rsid w:val="00B2265C"/>
    <w:rsid w:val="00D07FD8"/>
    <w:rsid w:val="00D34EFB"/>
    <w:rsid w:val="00DF0E22"/>
    <w:rsid w:val="00DF1E83"/>
    <w:rsid w:val="00E10488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3A0313FAAF74469B8D7301E7AC879E4">
    <w:name w:val="E3A0313FAAF74469B8D7301E7AC879E4"/>
    <w:rsid w:val="00887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1439-3688-408F-A2CA-2DB863B8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1018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Info-Bionika Mérnök MSc</vt:lpstr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Info-Bionika Mérnök MSc</dc:title>
  <dc:subject/>
  <dc:creator>Engi Erzsébet</dc:creator>
  <cp:keywords/>
  <dc:description/>
  <cp:lastModifiedBy>Róbert Mingesz</cp:lastModifiedBy>
  <cp:revision>30</cp:revision>
  <dcterms:created xsi:type="dcterms:W3CDTF">2019-03-11T10:42:00Z</dcterms:created>
  <dcterms:modified xsi:type="dcterms:W3CDTF">2025-03-05T11:33:00Z</dcterms:modified>
</cp:coreProperties>
</file>